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4F7A" w:rsidR="00DA0292" w:rsidP="00DA0292" w:rsidRDefault="00DA0292" w14:paraId="5B4F3291" w14:textId="54663DF9">
      <w:pPr>
        <w:jc w:val="center"/>
        <w:rPr>
          <w:rFonts w:ascii="Arial" w:hAnsi="Arial" w:cs="Arial"/>
          <w:b w:val="1"/>
          <w:bCs w:val="1"/>
          <w:u w:val="single"/>
        </w:rPr>
      </w:pPr>
      <w:r w:rsidRPr="19AB92B3" w:rsidR="00DA0292">
        <w:rPr>
          <w:rFonts w:ascii="Arial" w:hAnsi="Arial" w:cs="Arial"/>
          <w:b w:val="1"/>
          <w:bCs w:val="1"/>
          <w:u w:val="single"/>
        </w:rPr>
        <w:t>Education</w:t>
      </w:r>
      <w:r w:rsidRPr="19AB92B3" w:rsidR="00200DB1">
        <w:rPr>
          <w:rFonts w:ascii="Arial" w:hAnsi="Arial" w:cs="Arial"/>
          <w:b w:val="1"/>
          <w:bCs w:val="1"/>
          <w:u w:val="single"/>
        </w:rPr>
        <w:t xml:space="preserve"> and Student Experience</w:t>
      </w:r>
      <w:r w:rsidRPr="19AB92B3" w:rsidR="00DA0292">
        <w:rPr>
          <w:rFonts w:ascii="Arial" w:hAnsi="Arial" w:cs="Arial"/>
          <w:b w:val="1"/>
          <w:bCs w:val="1"/>
          <w:u w:val="single"/>
        </w:rPr>
        <w:t xml:space="preserve"> Committee – summary of meeting held on </w:t>
      </w:r>
      <w:r w:rsidRPr="19AB92B3" w:rsidR="00DA0292">
        <w:rPr>
          <w:rFonts w:ascii="Arial" w:hAnsi="Arial" w:cs="Arial"/>
          <w:b w:val="1"/>
          <w:bCs w:val="1"/>
          <w:u w:val="single"/>
        </w:rPr>
        <w:t>1</w:t>
      </w:r>
      <w:r w:rsidRPr="19AB92B3" w:rsidR="54AACFFA">
        <w:rPr>
          <w:rFonts w:ascii="Arial" w:hAnsi="Arial" w:cs="Arial"/>
          <w:b w:val="1"/>
          <w:bCs w:val="1"/>
          <w:u w:val="single"/>
        </w:rPr>
        <w:t>0</w:t>
      </w:r>
      <w:r w:rsidRPr="19AB92B3" w:rsidR="00DA0292">
        <w:rPr>
          <w:rFonts w:ascii="Arial" w:hAnsi="Arial" w:cs="Arial"/>
          <w:b w:val="1"/>
          <w:bCs w:val="1"/>
          <w:u w:val="single"/>
        </w:rPr>
        <w:t>.</w:t>
      </w:r>
      <w:r w:rsidRPr="19AB92B3" w:rsidR="007D345C">
        <w:rPr>
          <w:rFonts w:ascii="Arial" w:hAnsi="Arial" w:cs="Arial"/>
          <w:b w:val="1"/>
          <w:bCs w:val="1"/>
          <w:u w:val="single"/>
        </w:rPr>
        <w:t>1</w:t>
      </w:r>
      <w:r w:rsidRPr="19AB92B3" w:rsidR="2B73104F">
        <w:rPr>
          <w:rFonts w:ascii="Arial" w:hAnsi="Arial" w:cs="Arial"/>
          <w:b w:val="1"/>
          <w:bCs w:val="1"/>
          <w:u w:val="single"/>
        </w:rPr>
        <w:t>1</w:t>
      </w:r>
      <w:r w:rsidRPr="19AB92B3" w:rsidR="00DA0292">
        <w:rPr>
          <w:rFonts w:ascii="Arial" w:hAnsi="Arial" w:cs="Arial"/>
          <w:b w:val="1"/>
          <w:bCs w:val="1"/>
          <w:u w:val="single"/>
        </w:rPr>
        <w:t>.2</w:t>
      </w:r>
      <w:r w:rsidRPr="19AB92B3" w:rsidR="00DA0292">
        <w:rPr>
          <w:rFonts w:ascii="Arial" w:hAnsi="Arial" w:cs="Arial"/>
          <w:b w:val="1"/>
          <w:bCs w:val="1"/>
          <w:u w:val="single"/>
        </w:rPr>
        <w:t>2</w:t>
      </w:r>
    </w:p>
    <w:p w:rsidR="00DA0292" w:rsidP="00DA0292" w:rsidRDefault="00DA0292" w14:paraId="0853DC91" w14:textId="5BA0EEEC">
      <w:pPr>
        <w:rPr>
          <w:rFonts w:ascii="Arial" w:hAnsi="Arial" w:cs="Arial"/>
        </w:rPr>
      </w:pPr>
    </w:p>
    <w:p w:rsidRPr="003D693B" w:rsidR="00200DB1" w:rsidP="00200DB1" w:rsidRDefault="002745FF" w14:paraId="7B933C03" w14:textId="242A99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Bursary </w:t>
      </w:r>
      <w:r w:rsidR="00585570">
        <w:rPr>
          <w:rFonts w:ascii="Arial" w:hAnsi="Arial" w:cs="Arial"/>
          <w:b/>
          <w:bCs/>
          <w:u w:val="single"/>
        </w:rPr>
        <w:t>Amounts</w:t>
      </w:r>
    </w:p>
    <w:p w:rsidR="00200DB1" w:rsidP="00200DB1" w:rsidRDefault="00200DB1" w14:paraId="5A724296" w14:textId="77777777">
      <w:pPr>
        <w:pStyle w:val="ListParagraph"/>
        <w:rPr>
          <w:rFonts w:ascii="Arial" w:hAnsi="Arial" w:eastAsia="Arial" w:cs="Arial"/>
          <w:kern w:val="18"/>
        </w:rPr>
      </w:pPr>
    </w:p>
    <w:p w:rsidR="00200DB1" w:rsidP="00200DB1" w:rsidRDefault="00510015" w14:paraId="70EF10AD" w14:textId="1E8849F7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Committee members approved the updated bursary package</w:t>
      </w:r>
      <w:r w:rsidR="00825459">
        <w:rPr>
          <w:rFonts w:ascii="Arial" w:hAnsi="Arial" w:eastAsia="Arial" w:cs="Arial"/>
          <w:kern w:val="18"/>
        </w:rPr>
        <w:t xml:space="preserve"> for 2024-25 entry</w:t>
      </w:r>
      <w:r>
        <w:rPr>
          <w:rFonts w:ascii="Arial" w:hAnsi="Arial" w:eastAsia="Arial" w:cs="Arial"/>
          <w:kern w:val="18"/>
        </w:rPr>
        <w:t xml:space="preserve"> proposed by the Access and Participation Strategy Group and agreed that the recommended package could be put to UMB.</w:t>
      </w:r>
    </w:p>
    <w:p w:rsidR="00825459" w:rsidP="00200DB1" w:rsidRDefault="00825459" w14:paraId="281FB541" w14:textId="77777777">
      <w:pPr>
        <w:pStyle w:val="ListParagraph"/>
        <w:rPr>
          <w:rFonts w:ascii="Arial" w:hAnsi="Arial" w:eastAsia="Arial" w:cs="Arial"/>
          <w:kern w:val="18"/>
        </w:rPr>
      </w:pPr>
    </w:p>
    <w:p w:rsidRPr="00825459" w:rsidR="00825459" w:rsidP="00200DB1" w:rsidRDefault="00825459" w14:paraId="3C2A2687" w14:textId="04D949E2">
      <w:pPr>
        <w:pStyle w:val="ListParagraph"/>
        <w:rPr>
          <w:rFonts w:ascii="Arial" w:hAnsi="Arial" w:eastAsia="Arial" w:cs="Arial"/>
          <w:kern w:val="18"/>
          <w:sz w:val="24"/>
          <w:szCs w:val="24"/>
        </w:rPr>
      </w:pPr>
      <w:r w:rsidRPr="00825459">
        <w:rPr>
          <w:rFonts w:ascii="Arial" w:hAnsi="Arial" w:eastAsia="Arial" w:cs="Arial"/>
          <w:kern w:val="18"/>
        </w:rPr>
        <w:t>The</w:t>
      </w:r>
      <w:r w:rsidR="00241E2C">
        <w:rPr>
          <w:rFonts w:ascii="Arial" w:hAnsi="Arial" w:eastAsia="Arial" w:cs="Arial"/>
          <w:kern w:val="18"/>
        </w:rPr>
        <w:t xml:space="preserve"> proposed</w:t>
      </w:r>
      <w:r w:rsidRPr="00825459">
        <w:rPr>
          <w:rFonts w:ascii="Arial" w:hAnsi="Arial" w:eastAsia="Arial" w:cs="Arial"/>
          <w:kern w:val="18"/>
        </w:rPr>
        <w:t xml:space="preserve"> changes would increase the </w:t>
      </w:r>
      <w:r w:rsidRPr="00825459">
        <w:rPr>
          <w:rFonts w:ascii="Arial" w:hAnsi="Arial" w:cs="Arial"/>
        </w:rPr>
        <w:t>bursary value by 10% for Home UG students with household income bands of £16-60K and would introduce a £1,000 bursary for Home UG students with household incomes of £60-70K. The new proposal would also see the introduction of a new bursary of £5,500 for UG students who are estranged or care leavers.</w:t>
      </w:r>
    </w:p>
    <w:p w:rsidRPr="00200DB1" w:rsidR="00200DB1" w:rsidP="00200DB1" w:rsidRDefault="00200DB1" w14:paraId="23B98FBA" w14:textId="77777777">
      <w:pPr>
        <w:pStyle w:val="ListParagraph"/>
        <w:rPr>
          <w:rFonts w:ascii="Arial" w:hAnsi="Arial" w:eastAsia="Arial" w:cs="Arial"/>
          <w:kern w:val="18"/>
        </w:rPr>
      </w:pPr>
    </w:p>
    <w:p w:rsidRPr="00BD2643" w:rsidR="00DA0292" w:rsidP="00DA0292" w:rsidRDefault="00DA0292" w14:paraId="14414BC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Learning and Teaching Strategy Refresh</w:t>
      </w:r>
    </w:p>
    <w:p w:rsidR="00467F00" w:rsidP="00467F00" w:rsidRDefault="00467F00" w14:paraId="2C76219F" w14:textId="06878E38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</w:p>
    <w:p w:rsidRPr="00A45B49" w:rsidR="00A45B49" w:rsidP="00A45B49" w:rsidRDefault="00314B2C" w14:paraId="51F6D0FE" w14:textId="77777777">
      <w:pPr>
        <w:tabs>
          <w:tab w:val="center" w:pos="4153"/>
        </w:tabs>
        <w:spacing w:after="0" w:line="240" w:lineRule="auto"/>
        <w:ind w:left="720"/>
        <w:jc w:val="bot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next steps for the LTS refresh include</w:t>
      </w:r>
      <w:r w:rsidR="00A45B49">
        <w:rPr>
          <w:rFonts w:ascii="Arial" w:hAnsi="Arial" w:eastAsia="Arial" w:cs="Arial"/>
          <w:kern w:val="18"/>
        </w:rPr>
        <w:t xml:space="preserve"> </w:t>
      </w:r>
      <w:r w:rsidRPr="00A45B49" w:rsidR="00A45B49">
        <w:rPr>
          <w:rFonts w:ascii="Arial" w:hAnsi="Arial" w:eastAsia="Arial" w:cs="Arial"/>
          <w:kern w:val="18"/>
        </w:rPr>
        <w:t>considering a vision for education in 10 – 20 years’ time within the context of the developing College Strategy, and looking to deliver an educational experience which:</w:t>
      </w:r>
    </w:p>
    <w:p w:rsidRPr="00A45B49" w:rsidR="00A45B49" w:rsidP="00A45B49" w:rsidRDefault="00A45B49" w14:paraId="04BC9398" w14:textId="77777777">
      <w:pPr>
        <w:tabs>
          <w:tab w:val="center" w:pos="4153"/>
        </w:tabs>
        <w:spacing w:after="0" w:line="240" w:lineRule="auto"/>
        <w:ind w:left="720"/>
        <w:jc w:val="both"/>
        <w:rPr>
          <w:rFonts w:ascii="Arial" w:hAnsi="Arial" w:eastAsia="Arial" w:cs="Arial"/>
          <w:kern w:val="18"/>
        </w:rPr>
      </w:pPr>
    </w:p>
    <w:p w:rsidRPr="00A45B49" w:rsidR="00A45B49" w:rsidP="00A45B49" w:rsidRDefault="00A45B49" w14:paraId="5176D03C" w14:textId="6EAB91EC">
      <w:pPr>
        <w:pStyle w:val="ListParagraph"/>
        <w:numPr>
          <w:ilvl w:val="0"/>
          <w:numId w:val="10"/>
        </w:numPr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 w:rsidRPr="00A45B49">
        <w:rPr>
          <w:rFonts w:ascii="Arial" w:hAnsi="Arial" w:eastAsia="Arial" w:cs="Arial"/>
          <w:kern w:val="18"/>
        </w:rPr>
        <w:t>Makes full use of modular structure flexibility;</w:t>
      </w:r>
    </w:p>
    <w:p w:rsidRPr="00A45B49" w:rsidR="00A45B49" w:rsidP="00A45B49" w:rsidRDefault="00A45B49" w14:paraId="561F7978" w14:textId="12CA40EE">
      <w:pPr>
        <w:pStyle w:val="ListParagraph"/>
        <w:numPr>
          <w:ilvl w:val="0"/>
          <w:numId w:val="10"/>
        </w:numPr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 w:rsidRPr="00A45B49">
        <w:rPr>
          <w:rFonts w:ascii="Arial" w:hAnsi="Arial" w:eastAsia="Arial" w:cs="Arial"/>
          <w:kern w:val="18"/>
        </w:rPr>
        <w:t>Balances a strong disciplinary identity with the dexterity of interdisciplinarity;</w:t>
      </w:r>
    </w:p>
    <w:p w:rsidRPr="00A45B49" w:rsidR="00A45B49" w:rsidP="00A45B49" w:rsidRDefault="00A45B49" w14:paraId="1083CB1C" w14:textId="444AF6C1">
      <w:pPr>
        <w:pStyle w:val="ListParagraph"/>
        <w:numPr>
          <w:ilvl w:val="0"/>
          <w:numId w:val="10"/>
        </w:numPr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 w:rsidRPr="00A45B49">
        <w:rPr>
          <w:rFonts w:ascii="Arial" w:hAnsi="Arial" w:eastAsia="Arial" w:cs="Arial"/>
          <w:kern w:val="18"/>
        </w:rPr>
        <w:t>Aligns to renewed Graduate Attributes which articulates a distinctive yet diverse student identity;</w:t>
      </w:r>
    </w:p>
    <w:p w:rsidR="00EC64E3" w:rsidP="00A45B49" w:rsidRDefault="00A45B49" w14:paraId="660530F5" w14:textId="470A0CCF">
      <w:pPr>
        <w:pStyle w:val="ListParagraph"/>
        <w:numPr>
          <w:ilvl w:val="0"/>
          <w:numId w:val="10"/>
        </w:numPr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 w:rsidRPr="00A45B49">
        <w:rPr>
          <w:rFonts w:ascii="Arial" w:hAnsi="Arial" w:eastAsia="Arial" w:cs="Arial"/>
          <w:kern w:val="18"/>
        </w:rPr>
        <w:t>Develops and attracts lifelong learners.</w:t>
      </w:r>
    </w:p>
    <w:p w:rsidR="00A45B49" w:rsidP="00A45B49" w:rsidRDefault="00A45B49" w14:paraId="24BAAA94" w14:textId="77777777">
      <w:pPr>
        <w:pStyle w:val="ListParagraph"/>
        <w:tabs>
          <w:tab w:val="center" w:pos="4153"/>
        </w:tabs>
        <w:spacing w:after="0" w:line="240" w:lineRule="auto"/>
        <w:ind w:left="1440"/>
        <w:jc w:val="both"/>
        <w:rPr>
          <w:rFonts w:ascii="Arial" w:hAnsi="Arial" w:eastAsia="Arial" w:cs="Arial"/>
          <w:kern w:val="18"/>
        </w:rPr>
      </w:pPr>
    </w:p>
    <w:p w:rsidR="008950CD" w:rsidP="009A00FF" w:rsidRDefault="0075614C" w14:paraId="38B67797" w14:textId="16878FF1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 w:rsidR="0075614C">
        <w:rPr>
          <w:rFonts w:ascii="Arial" w:hAnsi="Arial" w:eastAsia="Arial" w:cs="Arial"/>
          <w:kern w:val="18"/>
        </w:rPr>
        <w:t xml:space="preserve">Members commented on the fact that operational issues </w:t>
      </w:r>
      <w:r w:rsidR="3E646A6D">
        <w:rPr>
          <w:rFonts w:ascii="Arial" w:hAnsi="Arial" w:eastAsia="Arial" w:cs="Arial"/>
          <w:kern w:val="18"/>
        </w:rPr>
        <w:t>may be</w:t>
      </w:r>
      <w:r w:rsidR="0075614C">
        <w:rPr>
          <w:rFonts w:ascii="Arial" w:hAnsi="Arial" w:eastAsia="Arial" w:cs="Arial"/>
          <w:kern w:val="18"/>
        </w:rPr>
        <w:t xml:space="preserve"> holding back progress</w:t>
      </w:r>
      <w:r w:rsidR="008950CD">
        <w:rPr>
          <w:rFonts w:ascii="Arial" w:hAnsi="Arial" w:eastAsia="Arial" w:cs="Arial"/>
          <w:kern w:val="18"/>
        </w:rPr>
        <w:t xml:space="preserve"> and that there is plenty of good practice in Faculties and Centres around assessment and feedback which should be used as a platform to build on.</w:t>
      </w:r>
    </w:p>
    <w:p w:rsidR="009A00FF" w:rsidP="009A00FF" w:rsidRDefault="009A00FF" w14:paraId="161AD43D" w14:textId="77777777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</w:p>
    <w:p w:rsidRPr="009A00FF" w:rsidR="009A00FF" w:rsidP="009A00FF" w:rsidRDefault="009A00FF" w14:paraId="06AF6116" w14:textId="38BEFEB4">
      <w:pPr>
        <w:pStyle w:val="ListParagraph"/>
        <w:tabs>
          <w:tab w:val="center" w:pos="4153"/>
        </w:tabs>
        <w:spacing w:after="0" w:line="240" w:lineRule="auto"/>
        <w:jc w:val="bot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group agreed on the need for the College to define what types of Lifelong Learning it wants to focus on.</w:t>
      </w:r>
    </w:p>
    <w:p w:rsidRPr="00200DB1" w:rsidR="00B746A5" w:rsidP="00200DB1" w:rsidRDefault="00B746A5" w14:paraId="59AFE98F" w14:textId="77777777">
      <w:pPr>
        <w:rPr>
          <w:rFonts w:ascii="Arial" w:hAnsi="Arial" w:eastAsia="Arial" w:cs="Arial"/>
          <w:kern w:val="18"/>
        </w:rPr>
      </w:pPr>
    </w:p>
    <w:p w:rsidR="006C1F67" w:rsidP="006C1F67" w:rsidRDefault="00585570" w14:paraId="4E18B77D" w14:textId="3B14C644">
      <w:pPr>
        <w:pStyle w:val="ListParagraph"/>
        <w:numPr>
          <w:ilvl w:val="0"/>
          <w:numId w:val="1"/>
        </w:numPr>
        <w:rPr>
          <w:rFonts w:ascii="Arial" w:hAnsi="Arial" w:eastAsia="Arial" w:cs="Arial"/>
          <w:b/>
          <w:bCs/>
          <w:kern w:val="18"/>
          <w:u w:val="single"/>
        </w:rPr>
      </w:pPr>
      <w:r>
        <w:rPr>
          <w:rFonts w:ascii="Arial" w:hAnsi="Arial" w:eastAsia="Arial" w:cs="Arial"/>
          <w:b/>
          <w:bCs/>
          <w:kern w:val="18"/>
          <w:u w:val="single"/>
        </w:rPr>
        <w:t>Condition B3</w:t>
      </w:r>
    </w:p>
    <w:p w:rsidR="006C1F67" w:rsidP="006C1F67" w:rsidRDefault="006C1F67" w14:paraId="40942C57" w14:textId="0F75E717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DC7751" w:rsidP="006C1F67" w:rsidRDefault="006B591D" w14:paraId="4A4CE50D" w14:textId="3AC45357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 xml:space="preserve">The group noted that the </w:t>
      </w:r>
      <w:r w:rsidRPr="006B591D">
        <w:rPr>
          <w:rFonts w:ascii="Arial" w:hAnsi="Arial" w:eastAsia="Arial" w:cs="Arial"/>
          <w:kern w:val="18"/>
        </w:rPr>
        <w:t>OfS had set minimum numerical thresholds for measures of continuation, completion and progression to assist their regulation of Condition B3 (which states that a provider must deliver positive outcomes for its students). The College ha</w:t>
      </w:r>
      <w:r>
        <w:rPr>
          <w:rFonts w:ascii="Arial" w:hAnsi="Arial" w:eastAsia="Arial" w:cs="Arial"/>
          <w:kern w:val="18"/>
        </w:rPr>
        <w:t>s</w:t>
      </w:r>
      <w:r w:rsidRPr="006B591D">
        <w:rPr>
          <w:rFonts w:ascii="Arial" w:hAnsi="Arial" w:eastAsia="Arial" w:cs="Arial"/>
          <w:kern w:val="18"/>
        </w:rPr>
        <w:t xml:space="preserve"> over 700 indicators which </w:t>
      </w:r>
      <w:r>
        <w:rPr>
          <w:rFonts w:ascii="Arial" w:hAnsi="Arial" w:eastAsia="Arial" w:cs="Arial"/>
          <w:kern w:val="18"/>
        </w:rPr>
        <w:t xml:space="preserve">are </w:t>
      </w:r>
      <w:r w:rsidRPr="006B591D">
        <w:rPr>
          <w:rFonts w:ascii="Arial" w:hAnsi="Arial" w:eastAsia="Arial" w:cs="Arial"/>
          <w:kern w:val="18"/>
        </w:rPr>
        <w:t>all above the minimum threshold.</w:t>
      </w:r>
    </w:p>
    <w:p w:rsidR="006B591D" w:rsidP="006C1F67" w:rsidRDefault="006B591D" w14:paraId="4F02394F" w14:textId="77777777">
      <w:pPr>
        <w:pStyle w:val="ListParagraph"/>
        <w:rPr>
          <w:rFonts w:ascii="Arial" w:hAnsi="Arial" w:eastAsia="Arial" w:cs="Arial"/>
          <w:kern w:val="18"/>
        </w:rPr>
      </w:pPr>
    </w:p>
    <w:p w:rsidRPr="006B1A02" w:rsidR="006B591D" w:rsidP="006B1A02" w:rsidRDefault="006B1A02" w14:paraId="5060B890" w14:textId="7D706A52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>TEF</w:t>
      </w:r>
    </w:p>
    <w:p w:rsidR="006B1A02" w:rsidP="006B1A02" w:rsidRDefault="006B1A02" w14:paraId="473BEFBF" w14:textId="77777777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Pr="006B1A02" w:rsidR="006B1A02" w:rsidP="006B1A02" w:rsidRDefault="00A04010" w14:paraId="1DE65288" w14:textId="3D727739">
      <w:pPr>
        <w:pStyle w:val="ListParagraph"/>
        <w:rPr>
          <w:rFonts w:ascii="Arial" w:hAnsi="Arial" w:eastAsia="Arial" w:cs="Arial"/>
          <w:kern w:val="18"/>
        </w:rPr>
      </w:pPr>
      <w:r w:rsidRPr="00A04010">
        <w:rPr>
          <w:rFonts w:ascii="Arial" w:hAnsi="Arial" w:eastAsia="Arial" w:cs="Arial"/>
          <w:kern w:val="18"/>
        </w:rPr>
        <w:t>Strategic Planning w</w:t>
      </w:r>
      <w:r>
        <w:rPr>
          <w:rFonts w:ascii="Arial" w:hAnsi="Arial" w:eastAsia="Arial" w:cs="Arial"/>
          <w:kern w:val="18"/>
        </w:rPr>
        <w:t>ill</w:t>
      </w:r>
      <w:r w:rsidRPr="00A04010">
        <w:rPr>
          <w:rFonts w:ascii="Arial" w:hAnsi="Arial" w:eastAsia="Arial" w:cs="Arial"/>
          <w:kern w:val="18"/>
        </w:rPr>
        <w:t xml:space="preserve"> be coordinating the provider statement submission and ICU w</w:t>
      </w:r>
      <w:r>
        <w:rPr>
          <w:rFonts w:ascii="Arial" w:hAnsi="Arial" w:eastAsia="Arial" w:cs="Arial"/>
          <w:kern w:val="18"/>
        </w:rPr>
        <w:t>ill</w:t>
      </w:r>
      <w:r w:rsidRPr="00A04010">
        <w:rPr>
          <w:rFonts w:ascii="Arial" w:hAnsi="Arial" w:eastAsia="Arial" w:cs="Arial"/>
          <w:kern w:val="18"/>
        </w:rPr>
        <w:t xml:space="preserve"> be producing a student submission. The Strategic Planning team ha</w:t>
      </w:r>
      <w:r>
        <w:rPr>
          <w:rFonts w:ascii="Arial" w:hAnsi="Arial" w:eastAsia="Arial" w:cs="Arial"/>
          <w:kern w:val="18"/>
        </w:rPr>
        <w:t>s</w:t>
      </w:r>
      <w:r w:rsidRPr="00A04010">
        <w:rPr>
          <w:rFonts w:ascii="Arial" w:hAnsi="Arial" w:eastAsia="Arial" w:cs="Arial"/>
          <w:kern w:val="18"/>
        </w:rPr>
        <w:t xml:space="preserve"> already started the process of gathering evidence for th</w:t>
      </w:r>
      <w:r>
        <w:rPr>
          <w:rFonts w:ascii="Arial" w:hAnsi="Arial" w:eastAsia="Arial" w:cs="Arial"/>
          <w:kern w:val="18"/>
        </w:rPr>
        <w:t>e College</w:t>
      </w:r>
      <w:r w:rsidRPr="00A04010">
        <w:rPr>
          <w:rFonts w:ascii="Arial" w:hAnsi="Arial" w:eastAsia="Arial" w:cs="Arial"/>
          <w:kern w:val="18"/>
        </w:rPr>
        <w:t xml:space="preserve"> submission, with the aim of having a first provider draft ready by the end of December.</w:t>
      </w:r>
    </w:p>
    <w:p w:rsidR="00736FE1" w:rsidP="00177631" w:rsidRDefault="00736FE1" w14:paraId="452AD360" w14:textId="16FBD4A8">
      <w:pPr>
        <w:pStyle w:val="ListParagraph"/>
        <w:rPr>
          <w:rFonts w:ascii="Arial" w:hAnsi="Arial" w:eastAsia="Arial" w:cs="Arial"/>
          <w:kern w:val="18"/>
        </w:rPr>
      </w:pPr>
    </w:p>
    <w:p w:rsidRPr="006C1F67" w:rsidR="00736FE1" w:rsidP="00736FE1" w:rsidRDefault="00863816" w14:paraId="5619EF25" w14:textId="17E6200A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>OfS approach to access and participation</w:t>
      </w:r>
    </w:p>
    <w:p w:rsidR="004A1CC6" w:rsidP="00DA0292" w:rsidRDefault="004A1CC6" w14:paraId="646ADC90" w14:textId="7018959D">
      <w:pPr>
        <w:pStyle w:val="ListParagraph"/>
        <w:rPr>
          <w:rFonts w:ascii="Arial" w:hAnsi="Arial" w:eastAsia="Arial" w:cs="Arial"/>
          <w:kern w:val="18"/>
        </w:rPr>
      </w:pPr>
    </w:p>
    <w:p w:rsidR="00362FF6" w:rsidP="00362FF6" w:rsidRDefault="00362FF6" w14:paraId="5F66F783" w14:textId="0EE8F2CF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lastRenderedPageBreak/>
        <w:t>The Committee was updated on the new OfS consultation on access and participation</w:t>
      </w:r>
      <w:r w:rsidR="008146E1">
        <w:rPr>
          <w:rFonts w:ascii="Arial" w:hAnsi="Arial" w:eastAsia="Arial" w:cs="Arial"/>
          <w:kern w:val="18"/>
        </w:rPr>
        <w:t xml:space="preserve">. The possibility </w:t>
      </w:r>
      <w:r w:rsidR="00237D92">
        <w:rPr>
          <w:rFonts w:ascii="Arial" w:hAnsi="Arial" w:eastAsia="Arial" w:cs="Arial"/>
          <w:kern w:val="18"/>
        </w:rPr>
        <w:t>of using targeted interventions taking a deficit approach was discussed and members agreed that this might be an area for the College to consider further going forward.</w:t>
      </w:r>
    </w:p>
    <w:p w:rsidRPr="00362FF6" w:rsidR="00362FF6" w:rsidP="00362FF6" w:rsidRDefault="00362FF6" w14:paraId="0DFFCDAF" w14:textId="77777777">
      <w:pPr>
        <w:pStyle w:val="ListParagraph"/>
        <w:rPr>
          <w:rFonts w:ascii="Arial" w:hAnsi="Arial" w:eastAsia="Arial" w:cs="Arial"/>
          <w:kern w:val="18"/>
        </w:rPr>
      </w:pPr>
    </w:p>
    <w:p w:rsidR="00863816" w:rsidP="00863816" w:rsidRDefault="00863816" w14:paraId="16709B73" w14:textId="46FC9777">
      <w:pPr>
        <w:pStyle w:val="ListParagraph"/>
        <w:numPr>
          <w:ilvl w:val="0"/>
          <w:numId w:val="1"/>
        </w:numPr>
        <w:rPr>
          <w:rFonts w:ascii="Arial" w:hAnsi="Arial" w:eastAsia="Arial" w:cs="Arial"/>
          <w:b/>
          <w:bCs/>
          <w:kern w:val="18"/>
          <w:u w:val="single"/>
        </w:rPr>
      </w:pPr>
      <w:r w:rsidRPr="00863816">
        <w:rPr>
          <w:rFonts w:ascii="Arial" w:hAnsi="Arial" w:eastAsia="Arial" w:cs="Arial"/>
          <w:b/>
          <w:bCs/>
          <w:kern w:val="18"/>
          <w:u w:val="single"/>
        </w:rPr>
        <w:t>Learning Analytics</w:t>
      </w:r>
    </w:p>
    <w:p w:rsidR="00155356" w:rsidP="00155356" w:rsidRDefault="00155356" w14:paraId="1AD2E379" w14:textId="77777777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Pr="00FC36A7" w:rsidR="00155356" w:rsidP="00FC36A7" w:rsidRDefault="009A00FF" w14:paraId="265698CB" w14:textId="35F93FFA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 xml:space="preserve">The Committee approved </w:t>
      </w:r>
      <w:r w:rsidRPr="00FC36A7" w:rsidR="00FC36A7">
        <w:rPr>
          <w:rFonts w:ascii="Arial" w:hAnsi="Arial" w:eastAsia="Arial" w:cs="Arial"/>
          <w:kern w:val="18"/>
        </w:rPr>
        <w:t>Learning Analytics as a two-year project reporting into Education and Student Experience Committee</w:t>
      </w:r>
      <w:r w:rsidR="00FC36A7">
        <w:rPr>
          <w:rFonts w:ascii="Arial" w:hAnsi="Arial" w:eastAsia="Arial" w:cs="Arial"/>
          <w:kern w:val="18"/>
        </w:rPr>
        <w:t>. The project will be led by Alan Spivey.</w:t>
      </w:r>
    </w:p>
    <w:p w:rsidR="00863816" w:rsidP="00863816" w:rsidRDefault="00863816" w14:paraId="05C10604" w14:textId="77777777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863816" w:rsidP="00863816" w:rsidRDefault="00155356" w14:paraId="66A800E2" w14:textId="51502106">
      <w:pPr>
        <w:pStyle w:val="ListParagraph"/>
        <w:numPr>
          <w:ilvl w:val="0"/>
          <w:numId w:val="1"/>
        </w:numPr>
        <w:rPr>
          <w:rFonts w:ascii="Arial" w:hAnsi="Arial" w:eastAsia="Arial" w:cs="Arial"/>
          <w:b/>
          <w:bCs/>
          <w:kern w:val="18"/>
          <w:u w:val="single"/>
        </w:rPr>
      </w:pPr>
      <w:r>
        <w:rPr>
          <w:rFonts w:ascii="Arial" w:hAnsi="Arial" w:eastAsia="Arial" w:cs="Arial"/>
          <w:b/>
          <w:bCs/>
          <w:kern w:val="18"/>
          <w:u w:val="single"/>
        </w:rPr>
        <w:t>Committee Terms of Reference</w:t>
      </w:r>
    </w:p>
    <w:p w:rsidR="007D3080" w:rsidP="007D3080" w:rsidRDefault="007D3080" w14:paraId="39245A53" w14:textId="77777777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Pr="007D3080" w:rsidR="007D3080" w:rsidP="007D3080" w:rsidRDefault="007D3080" w14:paraId="0E578F66" w14:textId="164E0DAD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group approved a shortened</w:t>
      </w:r>
      <w:r w:rsidR="00A50AB5">
        <w:rPr>
          <w:rFonts w:ascii="Arial" w:hAnsi="Arial" w:eastAsia="Arial" w:cs="Arial"/>
          <w:kern w:val="18"/>
        </w:rPr>
        <w:t xml:space="preserve"> version of the</w:t>
      </w:r>
      <w:r>
        <w:rPr>
          <w:rFonts w:ascii="Arial" w:hAnsi="Arial" w:eastAsia="Arial" w:cs="Arial"/>
          <w:kern w:val="18"/>
        </w:rPr>
        <w:t xml:space="preserve"> Terms of Reference with a new section dedicated to additional members who attend meetings but are not </w:t>
      </w:r>
      <w:r w:rsidR="00636A18">
        <w:rPr>
          <w:rFonts w:ascii="Arial" w:hAnsi="Arial" w:eastAsia="Arial" w:cs="Arial"/>
          <w:kern w:val="18"/>
        </w:rPr>
        <w:t>part of the core membership.</w:t>
      </w:r>
      <w:r w:rsidR="004377DD">
        <w:rPr>
          <w:rFonts w:ascii="Arial" w:hAnsi="Arial" w:eastAsia="Arial" w:cs="Arial"/>
          <w:kern w:val="18"/>
        </w:rPr>
        <w:t xml:space="preserve"> The new ToRs also reflect the group’s change from Education Committee to Education and Student Experience Committee.</w:t>
      </w:r>
    </w:p>
    <w:p w:rsidR="00863816" w:rsidP="00DA0292" w:rsidRDefault="00863816" w14:paraId="4C715379" w14:textId="77777777">
      <w:pPr>
        <w:pStyle w:val="ListParagraph"/>
        <w:rPr>
          <w:rFonts w:ascii="Arial" w:hAnsi="Arial" w:eastAsia="Arial" w:cs="Arial"/>
          <w:kern w:val="18"/>
          <w:sz w:val="20"/>
          <w:szCs w:val="20"/>
        </w:rPr>
      </w:pPr>
    </w:p>
    <w:p w:rsidRPr="00AA125A" w:rsidR="00DA0292" w:rsidP="00DA0292" w:rsidRDefault="00DA0292" w14:paraId="6E0D52F0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Updates from other committees</w:t>
      </w:r>
    </w:p>
    <w:p w:rsidR="00DA0292" w:rsidP="00DA0292" w:rsidRDefault="00DA0292" w14:paraId="1033AE10" w14:textId="77777777">
      <w:pPr>
        <w:pStyle w:val="ListParagraph"/>
        <w:rPr>
          <w:rFonts w:ascii="Arial" w:hAnsi="Arial" w:cs="Arial"/>
          <w:b/>
          <w:bCs/>
          <w:u w:val="single"/>
        </w:rPr>
      </w:pPr>
    </w:p>
    <w:p w:rsidR="00DA0292" w:rsidP="00DA0292" w:rsidRDefault="00DA0292" w14:paraId="29A94C71" w14:textId="7777777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Committee received updates from the following meeting groups:</w:t>
      </w:r>
    </w:p>
    <w:p w:rsidR="00DA0292" w:rsidP="00DA0292" w:rsidRDefault="00DA0292" w14:paraId="5EE66078" w14:textId="77777777">
      <w:pPr>
        <w:pStyle w:val="ListParagraph"/>
        <w:rPr>
          <w:rFonts w:ascii="Arial" w:hAnsi="Arial" w:cs="Arial"/>
        </w:rPr>
      </w:pPr>
    </w:p>
    <w:p w:rsidR="00DA0292" w:rsidP="00DA0292" w:rsidRDefault="00DA0292" w14:paraId="470FB821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 Experience Committee</w:t>
      </w:r>
    </w:p>
    <w:p w:rsidR="00DA0292" w:rsidP="00877AE9" w:rsidRDefault="00DA0292" w14:paraId="44D4D817" w14:textId="39ADFDE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:rsidR="00FC36A7" w:rsidP="00877AE9" w:rsidRDefault="00FC36A7" w14:paraId="587FF7B4" w14:textId="3158C2D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 Lifecycle Administration Board</w:t>
      </w:r>
    </w:p>
    <w:p w:rsidRPr="00877AE9" w:rsidR="00877AE9" w:rsidP="00877AE9" w:rsidRDefault="00877AE9" w14:paraId="62F39B27" w14:textId="0F413A10">
      <w:pPr>
        <w:rPr>
          <w:rFonts w:ascii="Arial" w:hAnsi="Arial" w:cs="Arial"/>
        </w:rPr>
      </w:pPr>
      <w:r>
        <w:rPr>
          <w:rFonts w:ascii="Arial" w:hAnsi="Arial" w:cs="Arial"/>
        </w:rPr>
        <w:t>The next meeting of Education</w:t>
      </w:r>
      <w:r w:rsidR="00AF087F">
        <w:rPr>
          <w:rFonts w:ascii="Arial" w:hAnsi="Arial" w:cs="Arial"/>
        </w:rPr>
        <w:t xml:space="preserve"> and Student Experience</w:t>
      </w:r>
      <w:r>
        <w:rPr>
          <w:rFonts w:ascii="Arial" w:hAnsi="Arial" w:cs="Arial"/>
        </w:rPr>
        <w:t xml:space="preserve"> Committee will take place on </w:t>
      </w:r>
      <w:r w:rsidR="00DC775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DC7751">
        <w:rPr>
          <w:rFonts w:ascii="Arial" w:hAnsi="Arial" w:cs="Arial"/>
        </w:rPr>
        <w:t>Dece</w:t>
      </w:r>
      <w:r w:rsidR="00F608A2">
        <w:rPr>
          <w:rFonts w:ascii="Arial" w:hAnsi="Arial" w:cs="Arial"/>
        </w:rPr>
        <w:t>mber</w:t>
      </w:r>
      <w:r>
        <w:rPr>
          <w:rFonts w:ascii="Arial" w:hAnsi="Arial" w:cs="Arial"/>
        </w:rPr>
        <w:t>.</w:t>
      </w:r>
    </w:p>
    <w:p w:rsidRPr="004A18EB" w:rsidR="004A18EB" w:rsidP="004A18EB" w:rsidRDefault="004A18EB" w14:paraId="731DB344" w14:textId="77777777">
      <w:pPr>
        <w:rPr>
          <w:rFonts w:ascii="Arial" w:hAnsi="Arial" w:cs="Arial"/>
        </w:rPr>
      </w:pPr>
    </w:p>
    <w:p w:rsidR="00013568" w:rsidRDefault="00000000" w14:paraId="30B37C63" w14:textId="77777777"/>
    <w:sectPr w:rsidR="000135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gjZNepO" int2:invalidationBookmarkName="" int2:hashCode="e8v5COA0yOUgm4" int2:id="mxbKcHS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1D2"/>
    <w:multiLevelType w:val="hybridMultilevel"/>
    <w:tmpl w:val="25B27FEC"/>
    <w:lvl w:ilvl="0" w:tplc="6DC6CE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43B27"/>
    <w:multiLevelType w:val="hybridMultilevel"/>
    <w:tmpl w:val="0B0C2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4F40095"/>
    <w:multiLevelType w:val="hybridMultilevel"/>
    <w:tmpl w:val="EB22FC06"/>
    <w:lvl w:ilvl="0" w:tplc="6EDECFC2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E4E517E"/>
    <w:multiLevelType w:val="hybridMultilevel"/>
    <w:tmpl w:val="1C1480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0904501"/>
    <w:multiLevelType w:val="hybridMultilevel"/>
    <w:tmpl w:val="F170D48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79502E1"/>
    <w:multiLevelType w:val="hybridMultilevel"/>
    <w:tmpl w:val="49D874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DD21542"/>
    <w:multiLevelType w:val="hybridMultilevel"/>
    <w:tmpl w:val="980EDFD2"/>
    <w:lvl w:ilvl="0" w:tplc="6EDECFC2">
      <w:start w:val="4"/>
      <w:numFmt w:val="bullet"/>
      <w:lvlText w:val="-"/>
      <w:lvlJc w:val="left"/>
      <w:pPr>
        <w:ind w:left="180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0A42351"/>
    <w:multiLevelType w:val="hybridMultilevel"/>
    <w:tmpl w:val="3356E8F2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1E9D9C">
      <w:numFmt w:val="bullet"/>
      <w:lvlText w:val=""/>
      <w:lvlJc w:val="left"/>
      <w:pPr>
        <w:ind w:left="1440" w:hanging="360"/>
      </w:pPr>
      <w:rPr>
        <w:rFonts w:hint="default" w:ascii="Symbol" w:hAnsi="Symbol" w:cs="Arial" w:eastAsia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97A39"/>
    <w:multiLevelType w:val="hybridMultilevel"/>
    <w:tmpl w:val="46629E2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79899172">
    <w:abstractNumId w:val="7"/>
  </w:num>
  <w:num w:numId="2" w16cid:durableId="1593271643">
    <w:abstractNumId w:val="9"/>
  </w:num>
  <w:num w:numId="3" w16cid:durableId="1063332266">
    <w:abstractNumId w:val="3"/>
  </w:num>
  <w:num w:numId="4" w16cid:durableId="64034187">
    <w:abstractNumId w:val="0"/>
  </w:num>
  <w:num w:numId="5" w16cid:durableId="1768889201">
    <w:abstractNumId w:val="8"/>
  </w:num>
  <w:num w:numId="6" w16cid:durableId="1978103216">
    <w:abstractNumId w:val="4"/>
  </w:num>
  <w:num w:numId="7" w16cid:durableId="2104766833">
    <w:abstractNumId w:val="1"/>
  </w:num>
  <w:num w:numId="8" w16cid:durableId="1161850147">
    <w:abstractNumId w:val="2"/>
  </w:num>
  <w:num w:numId="9" w16cid:durableId="897669374">
    <w:abstractNumId w:val="6"/>
  </w:num>
  <w:num w:numId="10" w16cid:durableId="1931238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92"/>
    <w:rsid w:val="00024680"/>
    <w:rsid w:val="000604E0"/>
    <w:rsid w:val="00083AE3"/>
    <w:rsid w:val="00136891"/>
    <w:rsid w:val="0015111C"/>
    <w:rsid w:val="00155356"/>
    <w:rsid w:val="00177631"/>
    <w:rsid w:val="001C1DE2"/>
    <w:rsid w:val="001E3EE9"/>
    <w:rsid w:val="001F523C"/>
    <w:rsid w:val="00200DB1"/>
    <w:rsid w:val="00205796"/>
    <w:rsid w:val="00237D92"/>
    <w:rsid w:val="00241E2C"/>
    <w:rsid w:val="00242A22"/>
    <w:rsid w:val="00271076"/>
    <w:rsid w:val="002745FF"/>
    <w:rsid w:val="00297B91"/>
    <w:rsid w:val="002A1AB9"/>
    <w:rsid w:val="002F0313"/>
    <w:rsid w:val="00314B2C"/>
    <w:rsid w:val="00323061"/>
    <w:rsid w:val="00361BAF"/>
    <w:rsid w:val="00362FF6"/>
    <w:rsid w:val="00386761"/>
    <w:rsid w:val="003B490E"/>
    <w:rsid w:val="003C3A9F"/>
    <w:rsid w:val="003D3A30"/>
    <w:rsid w:val="003E7362"/>
    <w:rsid w:val="003E7411"/>
    <w:rsid w:val="00405495"/>
    <w:rsid w:val="0040F973"/>
    <w:rsid w:val="0042096E"/>
    <w:rsid w:val="004377DD"/>
    <w:rsid w:val="00466B2C"/>
    <w:rsid w:val="00467F00"/>
    <w:rsid w:val="00482692"/>
    <w:rsid w:val="004A18EB"/>
    <w:rsid w:val="004A1CC6"/>
    <w:rsid w:val="004D0E4C"/>
    <w:rsid w:val="004E4D45"/>
    <w:rsid w:val="00504CD3"/>
    <w:rsid w:val="00510015"/>
    <w:rsid w:val="00534030"/>
    <w:rsid w:val="00583042"/>
    <w:rsid w:val="00585570"/>
    <w:rsid w:val="005B1B15"/>
    <w:rsid w:val="005C4034"/>
    <w:rsid w:val="00614012"/>
    <w:rsid w:val="00616414"/>
    <w:rsid w:val="00636A18"/>
    <w:rsid w:val="00661EA7"/>
    <w:rsid w:val="006A7C94"/>
    <w:rsid w:val="006B1A02"/>
    <w:rsid w:val="006B591D"/>
    <w:rsid w:val="006C1F67"/>
    <w:rsid w:val="00736FE1"/>
    <w:rsid w:val="00753BFA"/>
    <w:rsid w:val="0075614C"/>
    <w:rsid w:val="007B1FCD"/>
    <w:rsid w:val="007D3080"/>
    <w:rsid w:val="007D345C"/>
    <w:rsid w:val="008146E1"/>
    <w:rsid w:val="008200C6"/>
    <w:rsid w:val="00825459"/>
    <w:rsid w:val="00863816"/>
    <w:rsid w:val="00877AE9"/>
    <w:rsid w:val="00880957"/>
    <w:rsid w:val="00894869"/>
    <w:rsid w:val="008950CD"/>
    <w:rsid w:val="008C07FF"/>
    <w:rsid w:val="009577E5"/>
    <w:rsid w:val="00962D23"/>
    <w:rsid w:val="009A00FF"/>
    <w:rsid w:val="009C3754"/>
    <w:rsid w:val="009C4A86"/>
    <w:rsid w:val="009E5FB2"/>
    <w:rsid w:val="00A04010"/>
    <w:rsid w:val="00A16B6D"/>
    <w:rsid w:val="00A20F01"/>
    <w:rsid w:val="00A45B49"/>
    <w:rsid w:val="00A50AB5"/>
    <w:rsid w:val="00A75DEE"/>
    <w:rsid w:val="00AB64B9"/>
    <w:rsid w:val="00AF087F"/>
    <w:rsid w:val="00B042D6"/>
    <w:rsid w:val="00B746A5"/>
    <w:rsid w:val="00C63039"/>
    <w:rsid w:val="00CC1461"/>
    <w:rsid w:val="00D22157"/>
    <w:rsid w:val="00DA0292"/>
    <w:rsid w:val="00DC7751"/>
    <w:rsid w:val="00DD02C9"/>
    <w:rsid w:val="00DE45C4"/>
    <w:rsid w:val="00E30CA5"/>
    <w:rsid w:val="00E514B2"/>
    <w:rsid w:val="00E92D3B"/>
    <w:rsid w:val="00EA1A27"/>
    <w:rsid w:val="00EA22BF"/>
    <w:rsid w:val="00EC0169"/>
    <w:rsid w:val="00EC64E3"/>
    <w:rsid w:val="00EE5082"/>
    <w:rsid w:val="00F608A2"/>
    <w:rsid w:val="00F9405F"/>
    <w:rsid w:val="00FB59DA"/>
    <w:rsid w:val="00FC36A7"/>
    <w:rsid w:val="0B2E4B65"/>
    <w:rsid w:val="13B253A5"/>
    <w:rsid w:val="147B9086"/>
    <w:rsid w:val="19AB92B3"/>
    <w:rsid w:val="2B73104F"/>
    <w:rsid w:val="3E646A6D"/>
    <w:rsid w:val="4914F7FA"/>
    <w:rsid w:val="50817DB9"/>
    <w:rsid w:val="54AACFFA"/>
    <w:rsid w:val="59C8E322"/>
    <w:rsid w:val="6888C9DB"/>
    <w:rsid w:val="751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88B0"/>
  <w15:chartTrackingRefBased/>
  <w15:docId w15:val="{7B313DFC-718F-42DC-A782-0990386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02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0" ma:contentTypeDescription="Create a new document." ma:contentTypeScope="" ma:versionID="775d9fcde022342700f3823fe86d9a82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adeb38c17a23243fdfda96bedf47edb5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64CF-D047-48B7-AF16-64B57F45A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7A0B9-3E49-4C6F-9EAE-49DAF7D2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6b9f-24d2-4ba3-bf73-3dea83bb1095"/>
    <ds:schemaRef ds:uri="8ddd0975-05bf-41ff-8294-8524838a6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F4470-52B7-4F43-ADC9-02C181E5D9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Roberts, Ewan D A</dc:creator>
  <keywords/>
  <dc:description/>
  <lastModifiedBy>Roberts, Ewan D A</lastModifiedBy>
  <revision>107</revision>
  <dcterms:created xsi:type="dcterms:W3CDTF">2022-07-07T15:34:00.0000000Z</dcterms:created>
  <dcterms:modified xsi:type="dcterms:W3CDTF">2022-11-16T18:05:08.9468540Z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