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6016" w14:textId="786CCC5B" w:rsidR="008B06BC" w:rsidRPr="00784F7A" w:rsidRDefault="008B06BC" w:rsidP="008B06BC">
      <w:pPr>
        <w:jc w:val="center"/>
        <w:rPr>
          <w:rFonts w:ascii="Arial" w:hAnsi="Arial" w:cs="Arial"/>
          <w:b/>
          <w:bCs/>
          <w:u w:val="single"/>
        </w:rPr>
      </w:pPr>
      <w:r w:rsidRPr="19AB92B3">
        <w:rPr>
          <w:rFonts w:ascii="Arial" w:hAnsi="Arial" w:cs="Arial"/>
          <w:b/>
          <w:bCs/>
          <w:u w:val="single"/>
        </w:rPr>
        <w:t xml:space="preserve">Education and Student Experience Committee – summary of meeting held on </w:t>
      </w:r>
      <w:r>
        <w:rPr>
          <w:rFonts w:ascii="Arial" w:hAnsi="Arial" w:cs="Arial"/>
          <w:b/>
          <w:bCs/>
          <w:u w:val="single"/>
        </w:rPr>
        <w:t>08</w:t>
      </w:r>
      <w:r w:rsidRPr="19AB92B3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12</w:t>
      </w:r>
      <w:r w:rsidRPr="19AB92B3">
        <w:rPr>
          <w:rFonts w:ascii="Arial" w:hAnsi="Arial" w:cs="Arial"/>
          <w:b/>
          <w:bCs/>
          <w:u w:val="single"/>
        </w:rPr>
        <w:t>.22</w:t>
      </w:r>
    </w:p>
    <w:p w14:paraId="59C506AF" w14:textId="77777777" w:rsidR="008B06BC" w:rsidRPr="008B06BC" w:rsidRDefault="008B06BC" w:rsidP="008B06BC">
      <w:pPr>
        <w:rPr>
          <w:rFonts w:ascii="Arial" w:eastAsia="Arial" w:hAnsi="Arial" w:cs="Arial"/>
          <w:kern w:val="18"/>
        </w:rPr>
      </w:pPr>
    </w:p>
    <w:p w14:paraId="769E4921" w14:textId="22703793" w:rsidR="008B06BC" w:rsidRPr="006C1F67" w:rsidRDefault="008B06BC" w:rsidP="008B06BC">
      <w:pPr>
        <w:pStyle w:val="ListParagraph"/>
        <w:numPr>
          <w:ilvl w:val="0"/>
          <w:numId w:val="1"/>
        </w:numPr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b/>
          <w:bCs/>
          <w:kern w:val="18"/>
          <w:u w:val="single"/>
        </w:rPr>
        <w:t>Student frontline services review</w:t>
      </w:r>
    </w:p>
    <w:p w14:paraId="316863DC" w14:textId="77777777" w:rsidR="008B06BC" w:rsidRDefault="008B06BC" w:rsidP="008B06BC">
      <w:pPr>
        <w:pStyle w:val="ListParagraph"/>
        <w:rPr>
          <w:rFonts w:ascii="Arial" w:eastAsia="Arial" w:hAnsi="Arial" w:cs="Arial"/>
          <w:kern w:val="18"/>
        </w:rPr>
      </w:pPr>
    </w:p>
    <w:p w14:paraId="0CCBC5EB" w14:textId="20B8A4C1" w:rsidR="008B06BC" w:rsidRDefault="008B06BC" w:rsidP="008B06BC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 xml:space="preserve">The Committee was updated on the </w:t>
      </w:r>
      <w:r>
        <w:rPr>
          <w:rFonts w:ascii="Arial" w:eastAsia="Arial" w:hAnsi="Arial" w:cs="Arial"/>
          <w:kern w:val="18"/>
        </w:rPr>
        <w:t xml:space="preserve">ongoing work of the frontline services project group. This </w:t>
      </w:r>
      <w:r w:rsidRPr="008B06BC">
        <w:rPr>
          <w:rFonts w:ascii="Arial" w:eastAsia="Arial" w:hAnsi="Arial" w:cs="Arial"/>
          <w:kern w:val="18"/>
        </w:rPr>
        <w:t>project was launched to explore a range of services across College that are designed to meet a wide range of student needs</w:t>
      </w:r>
      <w:r>
        <w:rPr>
          <w:rFonts w:ascii="Arial" w:eastAsia="Arial" w:hAnsi="Arial" w:cs="Arial"/>
          <w:kern w:val="18"/>
        </w:rPr>
        <w:t>. The Committee approved the following recommendations:</w:t>
      </w:r>
    </w:p>
    <w:p w14:paraId="66953F20" w14:textId="06A3A59D" w:rsidR="008B06BC" w:rsidRDefault="008B06BC" w:rsidP="008B06BC">
      <w:pPr>
        <w:pStyle w:val="ListParagraph"/>
        <w:rPr>
          <w:rFonts w:ascii="Arial" w:eastAsia="Arial" w:hAnsi="Arial" w:cs="Arial"/>
          <w:kern w:val="18"/>
        </w:rPr>
      </w:pPr>
    </w:p>
    <w:p w14:paraId="39152B75" w14:textId="5A45C1F9" w:rsidR="008B06BC" w:rsidRPr="008B06BC" w:rsidRDefault="008B06BC" w:rsidP="008B06BC">
      <w:pPr>
        <w:pStyle w:val="ListParagraph"/>
        <w:numPr>
          <w:ilvl w:val="0"/>
          <w:numId w:val="6"/>
        </w:numPr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  <w:r w:rsidRPr="008B06BC">
        <w:rPr>
          <w:rFonts w:ascii="Arial" w:eastAsia="Arial" w:hAnsi="Arial" w:cs="Arial"/>
          <w:b/>
          <w:bCs/>
          <w:kern w:val="18"/>
        </w:rPr>
        <w:t>Cross-campus needs and future service model</w:t>
      </w:r>
      <w:r w:rsidRPr="008B06BC">
        <w:rPr>
          <w:rFonts w:ascii="Arial" w:eastAsia="Arial" w:hAnsi="Arial" w:cs="Arial"/>
          <w:kern w:val="18"/>
        </w:rPr>
        <w:t xml:space="preserve"> – this will seek to explore and design a service delivery model for students at multiple campuses. This may be both physical and remote/digital.</w:t>
      </w:r>
    </w:p>
    <w:p w14:paraId="7C3105FC" w14:textId="7359E5F2" w:rsidR="008B06BC" w:rsidRPr="008B06BC" w:rsidRDefault="008B06BC" w:rsidP="008B06BC">
      <w:pPr>
        <w:pStyle w:val="ListParagraph"/>
        <w:numPr>
          <w:ilvl w:val="0"/>
          <w:numId w:val="6"/>
        </w:numPr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  <w:r w:rsidRPr="008B06BC">
        <w:rPr>
          <w:rFonts w:ascii="Arial" w:eastAsia="Arial" w:hAnsi="Arial" w:cs="Arial"/>
          <w:b/>
          <w:bCs/>
          <w:kern w:val="18"/>
        </w:rPr>
        <w:t>South Kensington space</w:t>
      </w:r>
      <w:r w:rsidRPr="008B06BC">
        <w:rPr>
          <w:rFonts w:ascii="Arial" w:eastAsia="Arial" w:hAnsi="Arial" w:cs="Arial"/>
          <w:kern w:val="18"/>
        </w:rPr>
        <w:t xml:space="preserve"> – (i) to develop a short-term plan for location of services during the moves taking place as part of the space review; (ii) to develop opportunity for office space as part of the Sherfield, Faculty and Central Library buildings’ project, which best addresses immediate needs; (iii) to define a long-term vision for the location or co-location of multiple front-facing student services.</w:t>
      </w:r>
    </w:p>
    <w:p w14:paraId="7FBF969E" w14:textId="0E4F2AE8" w:rsidR="008B06BC" w:rsidRPr="008B06BC" w:rsidRDefault="008B06BC" w:rsidP="008B06BC">
      <w:pPr>
        <w:pStyle w:val="ListParagraph"/>
        <w:numPr>
          <w:ilvl w:val="0"/>
          <w:numId w:val="6"/>
        </w:numPr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  <w:r w:rsidRPr="008B06BC">
        <w:rPr>
          <w:rFonts w:ascii="Arial" w:eastAsia="Arial" w:hAnsi="Arial" w:cs="Arial"/>
          <w:b/>
          <w:bCs/>
          <w:kern w:val="18"/>
        </w:rPr>
        <w:t>Student communications relating to frontline student service delivery and administration</w:t>
      </w:r>
      <w:r w:rsidRPr="008B06BC">
        <w:rPr>
          <w:rFonts w:ascii="Arial" w:eastAsia="Arial" w:hAnsi="Arial" w:cs="Arial"/>
          <w:kern w:val="18"/>
        </w:rPr>
        <w:t xml:space="preserve"> – using a two-phased approach, this would review email communications for incoming students across departments, faculty and central services and give consideration for other communication media and channels that might better suit students.</w:t>
      </w:r>
    </w:p>
    <w:p w14:paraId="74023830" w14:textId="2C3FD966" w:rsidR="008B06BC" w:rsidRPr="008B06BC" w:rsidRDefault="008B06BC" w:rsidP="008B06BC">
      <w:pPr>
        <w:pStyle w:val="ListParagraph"/>
        <w:numPr>
          <w:ilvl w:val="0"/>
          <w:numId w:val="6"/>
        </w:numPr>
        <w:tabs>
          <w:tab w:val="center" w:pos="4153"/>
        </w:tabs>
        <w:spacing w:after="0" w:line="240" w:lineRule="auto"/>
        <w:jc w:val="both"/>
        <w:rPr>
          <w:rFonts w:ascii="Arial" w:eastAsia="Arial" w:hAnsi="Arial" w:cs="Arial"/>
          <w:kern w:val="18"/>
        </w:rPr>
      </w:pPr>
      <w:r w:rsidRPr="008B06BC">
        <w:rPr>
          <w:rFonts w:ascii="Arial" w:eastAsia="Arial" w:hAnsi="Arial" w:cs="Arial"/>
          <w:b/>
          <w:bCs/>
          <w:kern w:val="18"/>
        </w:rPr>
        <w:t>Service variation assessment</w:t>
      </w:r>
      <w:r w:rsidRPr="008B06BC">
        <w:rPr>
          <w:rFonts w:ascii="Arial" w:eastAsia="Arial" w:hAnsi="Arial" w:cs="Arial"/>
          <w:kern w:val="18"/>
        </w:rPr>
        <w:t xml:space="preserve"> – exploratory research project to better understand the service landscape and identify best practice opportunities that may be applied elsewhere an any disparity of support experienced by students.</w:t>
      </w:r>
    </w:p>
    <w:p w14:paraId="4F153C98" w14:textId="56CCC20B" w:rsidR="008B06BC" w:rsidRDefault="008B06BC" w:rsidP="008B06BC">
      <w:pPr>
        <w:pStyle w:val="ListParagraph"/>
        <w:rPr>
          <w:rFonts w:ascii="Arial" w:eastAsia="Arial" w:hAnsi="Arial" w:cs="Arial"/>
          <w:kern w:val="18"/>
        </w:rPr>
      </w:pPr>
    </w:p>
    <w:p w14:paraId="083CF74B" w14:textId="4780FF06" w:rsidR="008B06BC" w:rsidRDefault="008B06BC" w:rsidP="008B06BC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The proposals and a project report will now go to Operations Committee.</w:t>
      </w:r>
    </w:p>
    <w:p w14:paraId="0074776E" w14:textId="77777777" w:rsidR="008B06BC" w:rsidRPr="00362FF6" w:rsidRDefault="008B06BC" w:rsidP="008B06BC">
      <w:pPr>
        <w:pStyle w:val="ListParagraph"/>
        <w:rPr>
          <w:rFonts w:ascii="Arial" w:eastAsia="Arial" w:hAnsi="Arial" w:cs="Arial"/>
          <w:kern w:val="18"/>
        </w:rPr>
      </w:pPr>
    </w:p>
    <w:p w14:paraId="0F166D23" w14:textId="0838ADBA" w:rsidR="008B06BC" w:rsidRDefault="008B06BC" w:rsidP="008B06BC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kern w:val="18"/>
          <w:u w:val="single"/>
        </w:rPr>
      </w:pPr>
      <w:r>
        <w:rPr>
          <w:rFonts w:ascii="Arial" w:eastAsia="Arial" w:hAnsi="Arial" w:cs="Arial"/>
          <w:b/>
          <w:bCs/>
          <w:kern w:val="18"/>
          <w:u w:val="single"/>
        </w:rPr>
        <w:t>New sub-committees</w:t>
      </w:r>
    </w:p>
    <w:p w14:paraId="6A6597B4" w14:textId="77777777" w:rsidR="008B06BC" w:rsidRDefault="008B06BC" w:rsidP="008B06BC">
      <w:pPr>
        <w:pStyle w:val="ListParagraph"/>
        <w:rPr>
          <w:rFonts w:ascii="Arial" w:eastAsia="Arial" w:hAnsi="Arial" w:cs="Arial"/>
          <w:b/>
          <w:bCs/>
          <w:kern w:val="18"/>
          <w:u w:val="single"/>
        </w:rPr>
      </w:pPr>
    </w:p>
    <w:p w14:paraId="5679BE60" w14:textId="7E35A52A" w:rsidR="008B06BC" w:rsidRDefault="008B06BC" w:rsidP="008B06BC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The group commented on the Terms of Reference for, and approved the formation of, three new sub-groups:</w:t>
      </w:r>
    </w:p>
    <w:p w14:paraId="6B0E2D2D" w14:textId="19E7FDED" w:rsidR="008B06BC" w:rsidRDefault="008B06BC" w:rsidP="008B06BC">
      <w:pPr>
        <w:pStyle w:val="ListParagraph"/>
        <w:rPr>
          <w:rFonts w:ascii="Arial" w:eastAsia="Arial" w:hAnsi="Arial" w:cs="Arial"/>
          <w:kern w:val="18"/>
        </w:rPr>
      </w:pPr>
    </w:p>
    <w:p w14:paraId="74053A32" w14:textId="7F8A4475" w:rsidR="008B06BC" w:rsidRDefault="008B06BC" w:rsidP="008B06BC">
      <w:pPr>
        <w:pStyle w:val="ListParagraph"/>
        <w:numPr>
          <w:ilvl w:val="0"/>
          <w:numId w:val="5"/>
        </w:numPr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Student Activities Board</w:t>
      </w:r>
    </w:p>
    <w:p w14:paraId="76713450" w14:textId="18A81E39" w:rsidR="008B06BC" w:rsidRDefault="008B06BC" w:rsidP="008B06BC">
      <w:pPr>
        <w:pStyle w:val="ListParagraph"/>
        <w:numPr>
          <w:ilvl w:val="0"/>
          <w:numId w:val="5"/>
        </w:numPr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I-Explore/CLCC Steering Group (replacing I-Explore Module Innovation Group)</w:t>
      </w:r>
    </w:p>
    <w:p w14:paraId="6F99005A" w14:textId="35F5B451" w:rsidR="008B06BC" w:rsidRPr="008B06BC" w:rsidRDefault="008B06BC" w:rsidP="008B06BC">
      <w:pPr>
        <w:pStyle w:val="ListParagraph"/>
        <w:numPr>
          <w:ilvl w:val="0"/>
          <w:numId w:val="5"/>
        </w:numPr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>Admissions Committee</w:t>
      </w:r>
    </w:p>
    <w:p w14:paraId="17895347" w14:textId="77777777" w:rsidR="008B06BC" w:rsidRDefault="008B06BC" w:rsidP="008B06BC">
      <w:pPr>
        <w:pStyle w:val="ListParagraph"/>
        <w:rPr>
          <w:rFonts w:ascii="Arial" w:eastAsia="Arial" w:hAnsi="Arial" w:cs="Arial"/>
          <w:b/>
          <w:bCs/>
          <w:kern w:val="18"/>
          <w:u w:val="single"/>
        </w:rPr>
      </w:pPr>
    </w:p>
    <w:p w14:paraId="0A4C7B93" w14:textId="1F482C33" w:rsidR="008B06BC" w:rsidRDefault="008B06BC" w:rsidP="008B06BC">
      <w:pPr>
        <w:pStyle w:val="ListParagraph"/>
        <w:numPr>
          <w:ilvl w:val="0"/>
          <w:numId w:val="1"/>
        </w:numPr>
        <w:rPr>
          <w:rFonts w:ascii="Arial" w:eastAsia="Arial" w:hAnsi="Arial" w:cs="Arial"/>
          <w:b/>
          <w:bCs/>
          <w:kern w:val="18"/>
          <w:u w:val="single"/>
        </w:rPr>
      </w:pPr>
      <w:r>
        <w:rPr>
          <w:rFonts w:ascii="Arial" w:eastAsia="Arial" w:hAnsi="Arial" w:cs="Arial"/>
          <w:b/>
          <w:bCs/>
          <w:kern w:val="18"/>
          <w:u w:val="single"/>
        </w:rPr>
        <w:t>Strategy updates</w:t>
      </w:r>
    </w:p>
    <w:p w14:paraId="332D7365" w14:textId="77777777" w:rsidR="008B06BC" w:rsidRDefault="008B06BC" w:rsidP="008B06BC">
      <w:pPr>
        <w:pStyle w:val="ListParagraph"/>
        <w:rPr>
          <w:rFonts w:ascii="Arial" w:eastAsia="Arial" w:hAnsi="Arial" w:cs="Arial"/>
          <w:b/>
          <w:bCs/>
          <w:kern w:val="18"/>
          <w:u w:val="single"/>
        </w:rPr>
      </w:pPr>
    </w:p>
    <w:p w14:paraId="71B0BDFC" w14:textId="6DACBB09" w:rsidR="008B06BC" w:rsidRPr="007D3080" w:rsidRDefault="008B06BC" w:rsidP="008B06BC">
      <w:pPr>
        <w:pStyle w:val="ListParagraph"/>
        <w:rPr>
          <w:rFonts w:ascii="Arial" w:eastAsia="Arial" w:hAnsi="Arial" w:cs="Arial"/>
          <w:kern w:val="18"/>
        </w:rPr>
      </w:pPr>
      <w:r>
        <w:rPr>
          <w:rFonts w:ascii="Arial" w:eastAsia="Arial" w:hAnsi="Arial" w:cs="Arial"/>
          <w:kern w:val="18"/>
        </w:rPr>
        <w:t xml:space="preserve">The Committee discussed the education pillar of the forthcoming College Strategy, which would be considering the question </w:t>
      </w:r>
      <w:r w:rsidRPr="008B06BC">
        <w:rPr>
          <w:rFonts w:ascii="Arial" w:eastAsia="Arial" w:hAnsi="Arial" w:cs="Arial"/>
          <w:kern w:val="18"/>
        </w:rPr>
        <w:t>of what would be distinctive about the education and student experience offered by Imperial College London over a 10–20 year timeframe.</w:t>
      </w:r>
    </w:p>
    <w:p w14:paraId="247553A6" w14:textId="77777777" w:rsidR="008B06BC" w:rsidRDefault="008B06BC" w:rsidP="008B06BC">
      <w:pPr>
        <w:pStyle w:val="ListParagraph"/>
        <w:rPr>
          <w:rFonts w:ascii="Arial" w:eastAsia="Arial" w:hAnsi="Arial" w:cs="Arial"/>
          <w:kern w:val="18"/>
          <w:sz w:val="20"/>
          <w:szCs w:val="20"/>
        </w:rPr>
      </w:pPr>
    </w:p>
    <w:p w14:paraId="4416DEBF" w14:textId="77777777" w:rsidR="008B06BC" w:rsidRPr="00AA125A" w:rsidRDefault="008B06BC" w:rsidP="008B06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Updates from other committees</w:t>
      </w:r>
    </w:p>
    <w:p w14:paraId="3C6C1E41" w14:textId="77777777" w:rsidR="008B06BC" w:rsidRDefault="008B06BC" w:rsidP="008B06BC">
      <w:pPr>
        <w:pStyle w:val="ListParagraph"/>
        <w:rPr>
          <w:rFonts w:ascii="Arial" w:hAnsi="Arial" w:cs="Arial"/>
          <w:b/>
          <w:bCs/>
          <w:u w:val="single"/>
        </w:rPr>
      </w:pPr>
    </w:p>
    <w:p w14:paraId="1AD1676D" w14:textId="77777777" w:rsidR="008B06BC" w:rsidRDefault="008B06BC" w:rsidP="008B06B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The Committee received updates from the following meeting groups:</w:t>
      </w:r>
    </w:p>
    <w:p w14:paraId="6E7982D5" w14:textId="77777777" w:rsidR="008B06BC" w:rsidRDefault="008B06BC" w:rsidP="008B06BC">
      <w:pPr>
        <w:pStyle w:val="ListParagraph"/>
        <w:rPr>
          <w:rFonts w:ascii="Arial" w:hAnsi="Arial" w:cs="Arial"/>
        </w:rPr>
      </w:pPr>
    </w:p>
    <w:p w14:paraId="469D1519" w14:textId="66B6D6C8" w:rsidR="008B06BC" w:rsidRDefault="008B06BC" w:rsidP="008B06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Student Experience</w:t>
      </w:r>
      <w:r w:rsidR="00E31D58">
        <w:rPr>
          <w:rFonts w:ascii="Arial" w:hAnsi="Arial" w:cs="Arial"/>
        </w:rPr>
        <w:t xml:space="preserve"> Forum</w:t>
      </w:r>
    </w:p>
    <w:p w14:paraId="133F3355" w14:textId="77777777" w:rsidR="008B06BC" w:rsidRDefault="008B06BC" w:rsidP="008B06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Teaching and Learning (Product) Board</w:t>
      </w:r>
    </w:p>
    <w:p w14:paraId="7AA0EFC9" w14:textId="0F5A9645" w:rsidR="008B06BC" w:rsidRDefault="008B06BC" w:rsidP="008B06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Student Lifecycle Administration Board</w:t>
      </w:r>
    </w:p>
    <w:p w14:paraId="21437FDA" w14:textId="0C4B208B" w:rsidR="00E31D58" w:rsidRDefault="00E31D58" w:rsidP="008B06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QAEC</w:t>
      </w:r>
    </w:p>
    <w:p w14:paraId="392C3BE7" w14:textId="69DCA486" w:rsidR="00E31D58" w:rsidRDefault="00E31D58" w:rsidP="008B06B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Senate</w:t>
      </w:r>
    </w:p>
    <w:p w14:paraId="459BFE05" w14:textId="1ED9B5B9" w:rsidR="00E31D58" w:rsidRPr="00E31D58" w:rsidRDefault="00E31D58" w:rsidP="00E31D5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It was suggested that, at future meetings of the Teaching and Learning (Product) Board, it would be </w:t>
      </w:r>
      <w:r w:rsidRPr="00E31D58">
        <w:rPr>
          <w:rFonts w:ascii="Arial" w:hAnsi="Arial" w:cs="Arial"/>
        </w:rPr>
        <w:t xml:space="preserve">useful </w:t>
      </w:r>
      <w:r w:rsidRPr="00E31D58">
        <w:rPr>
          <w:rFonts w:ascii="Arial" w:eastAsia="Arial" w:hAnsi="Arial" w:cs="Arial"/>
          <w:kern w:val="18"/>
        </w:rPr>
        <w:t>to include an assessment of the financial implication of changes made to systems, and ACS agreed that this would be considered going forward where possible.</w:t>
      </w:r>
    </w:p>
    <w:p w14:paraId="0BBFB957" w14:textId="77777777" w:rsidR="00E31D58" w:rsidRDefault="00E31D58" w:rsidP="00E31D58">
      <w:pPr>
        <w:pStyle w:val="ListParagraph"/>
        <w:rPr>
          <w:rFonts w:ascii="Arial" w:hAnsi="Arial" w:cs="Arial"/>
        </w:rPr>
      </w:pPr>
    </w:p>
    <w:p w14:paraId="0B1BDCCC" w14:textId="782769C1" w:rsidR="008B06BC" w:rsidRPr="00877AE9" w:rsidRDefault="008B06BC" w:rsidP="008B06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next meeting of Education and Student Experience Committee will take place on </w:t>
      </w:r>
      <w:r>
        <w:rPr>
          <w:rFonts w:ascii="Arial" w:hAnsi="Arial" w:cs="Arial"/>
        </w:rPr>
        <w:t>19 January</w:t>
      </w:r>
      <w:r>
        <w:rPr>
          <w:rFonts w:ascii="Arial" w:hAnsi="Arial" w:cs="Arial"/>
        </w:rPr>
        <w:t>.</w:t>
      </w:r>
    </w:p>
    <w:p w14:paraId="46F22B71" w14:textId="77777777" w:rsidR="008B06BC" w:rsidRPr="004A18EB" w:rsidRDefault="008B06BC" w:rsidP="008B06BC">
      <w:pPr>
        <w:rPr>
          <w:rFonts w:ascii="Arial" w:hAnsi="Arial" w:cs="Arial"/>
        </w:rPr>
      </w:pPr>
    </w:p>
    <w:p w14:paraId="537963C5" w14:textId="77777777" w:rsidR="008B06BC" w:rsidRDefault="008B06BC" w:rsidP="008B06BC"/>
    <w:p w14:paraId="68C45140" w14:textId="77777777" w:rsidR="00013568" w:rsidRDefault="00E31D58"/>
    <w:sectPr w:rsidR="000135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502E1"/>
    <w:multiLevelType w:val="hybridMultilevel"/>
    <w:tmpl w:val="49D874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C2342F"/>
    <w:multiLevelType w:val="hybridMultilevel"/>
    <w:tmpl w:val="493874DC"/>
    <w:lvl w:ilvl="0" w:tplc="35601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A8474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60680"/>
    <w:multiLevelType w:val="hybridMultilevel"/>
    <w:tmpl w:val="FB160198"/>
    <w:lvl w:ilvl="0" w:tplc="356012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0A42351"/>
    <w:multiLevelType w:val="hybridMultilevel"/>
    <w:tmpl w:val="29BEBAA8"/>
    <w:lvl w:ilvl="0" w:tplc="A520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1E9D9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6B6C982E">
      <w:start w:val="1"/>
      <w:numFmt w:val="upperLetter"/>
      <w:lvlText w:val="%3.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95CB3"/>
    <w:multiLevelType w:val="hybridMultilevel"/>
    <w:tmpl w:val="F6B4204A"/>
    <w:lvl w:ilvl="0" w:tplc="356012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DC07AB3"/>
    <w:multiLevelType w:val="hybridMultilevel"/>
    <w:tmpl w:val="ADCE35EE"/>
    <w:lvl w:ilvl="0" w:tplc="1758F4D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8611797">
    <w:abstractNumId w:val="3"/>
  </w:num>
  <w:num w:numId="2" w16cid:durableId="1815871798">
    <w:abstractNumId w:val="5"/>
  </w:num>
  <w:num w:numId="3" w16cid:durableId="479737268">
    <w:abstractNumId w:val="0"/>
  </w:num>
  <w:num w:numId="4" w16cid:durableId="1988051001">
    <w:abstractNumId w:val="1"/>
  </w:num>
  <w:num w:numId="5" w16cid:durableId="977957264">
    <w:abstractNumId w:val="2"/>
  </w:num>
  <w:num w:numId="6" w16cid:durableId="12134963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BC"/>
    <w:rsid w:val="008B06BC"/>
    <w:rsid w:val="00DD02C9"/>
    <w:rsid w:val="00DE45C4"/>
    <w:rsid w:val="00E3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53D6"/>
  <w15:chartTrackingRefBased/>
  <w15:docId w15:val="{3311B465-0D82-4E74-A71B-D4F58ACB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Ewan D A</dc:creator>
  <cp:keywords/>
  <dc:description/>
  <cp:lastModifiedBy>Roberts, Ewan D A</cp:lastModifiedBy>
  <cp:revision>1</cp:revision>
  <dcterms:created xsi:type="dcterms:W3CDTF">2022-12-08T16:20:00Z</dcterms:created>
  <dcterms:modified xsi:type="dcterms:W3CDTF">2022-12-08T16:33:00Z</dcterms:modified>
</cp:coreProperties>
</file>