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635" w:type="dxa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2790"/>
        <w:gridCol w:w="4500"/>
        <w:gridCol w:w="3150"/>
      </w:tblGrid>
      <w:tr w:rsidR="00D67730" w:rsidRPr="00AC4E93" w14:paraId="0DE7B1AC" w14:textId="77777777" w:rsidTr="001D2E25">
        <w:tc>
          <w:tcPr>
            <w:tcW w:w="10440" w:type="dxa"/>
            <w:gridSpan w:val="3"/>
            <w:shd w:val="clear" w:color="auto" w:fill="2F5496" w:themeFill="accent1" w:themeFillShade="BF"/>
          </w:tcPr>
          <w:p w14:paraId="042EAE77" w14:textId="1115926E" w:rsidR="00D67730" w:rsidRPr="00074885" w:rsidRDefault="00855110" w:rsidP="00D67730">
            <w:pPr>
              <w:jc w:val="center"/>
              <w:rPr>
                <w:rFonts w:ascii="Arial Nova" w:hAnsi="Arial Nova" w:cs="Arial"/>
                <w:b/>
                <w:bCs/>
              </w:rPr>
            </w:pPr>
            <w:r>
              <w:rPr>
                <w:rFonts w:ascii="Arial Nova" w:hAnsi="Arial Nova" w:cs="Arial"/>
                <w:b/>
                <w:bCs/>
                <w:color w:val="FFFFFF" w:themeColor="background1"/>
              </w:rPr>
              <w:t>EDUCATION AND STUDENT EXPERIENCE COMMITTEE</w:t>
            </w:r>
          </w:p>
        </w:tc>
      </w:tr>
      <w:tr w:rsidR="00D67730" w:rsidRPr="00AC4E93" w14:paraId="4CD2885D" w14:textId="77777777" w:rsidTr="001D2E25">
        <w:tc>
          <w:tcPr>
            <w:tcW w:w="10440" w:type="dxa"/>
            <w:gridSpan w:val="3"/>
            <w:shd w:val="clear" w:color="auto" w:fill="D9E2F3" w:themeFill="accent1" w:themeFillTint="33"/>
          </w:tcPr>
          <w:p w14:paraId="01B30BA6" w14:textId="7FB28B1F" w:rsidR="00D67730" w:rsidRPr="00074885" w:rsidRDefault="00855110" w:rsidP="00D67730">
            <w:pPr>
              <w:jc w:val="center"/>
              <w:rPr>
                <w:rFonts w:ascii="Arial Nova" w:hAnsi="Arial Nova" w:cs="Arial"/>
                <w:b/>
                <w:bCs/>
                <w:i/>
                <w:iCs/>
              </w:rPr>
            </w:pPr>
            <w:r>
              <w:rPr>
                <w:rFonts w:ascii="Arial Nova" w:hAnsi="Arial Nova" w:cs="Arial"/>
                <w:b/>
                <w:bCs/>
                <w:i/>
                <w:iCs/>
              </w:rPr>
              <w:t>28/09/2023</w:t>
            </w:r>
          </w:p>
        </w:tc>
      </w:tr>
      <w:tr w:rsidR="00D67730" w:rsidRPr="00AC4E93" w14:paraId="4A3BEE90" w14:textId="78ADFD22" w:rsidTr="001D2E25">
        <w:tc>
          <w:tcPr>
            <w:tcW w:w="2790" w:type="dxa"/>
          </w:tcPr>
          <w:p w14:paraId="6EA05BD5" w14:textId="07BD6F64" w:rsidR="00D67730" w:rsidRPr="00074885" w:rsidRDefault="00D67730" w:rsidP="00D67730">
            <w:pPr>
              <w:jc w:val="center"/>
              <w:rPr>
                <w:rFonts w:ascii="Arial Nova" w:hAnsi="Arial Nova" w:cs="Arial"/>
              </w:rPr>
            </w:pPr>
            <w:r w:rsidRPr="00074885">
              <w:rPr>
                <w:rFonts w:ascii="Arial Nova" w:hAnsi="Arial Nova" w:cs="Arial"/>
              </w:rPr>
              <w:t>Item</w:t>
            </w:r>
          </w:p>
        </w:tc>
        <w:tc>
          <w:tcPr>
            <w:tcW w:w="4500" w:type="dxa"/>
          </w:tcPr>
          <w:p w14:paraId="18EFFFFB" w14:textId="5BF38C4F" w:rsidR="00D67730" w:rsidRPr="00074885" w:rsidRDefault="00D67730" w:rsidP="00D67730">
            <w:pPr>
              <w:jc w:val="center"/>
              <w:rPr>
                <w:rFonts w:ascii="Arial Nova" w:hAnsi="Arial Nova" w:cs="Arial"/>
              </w:rPr>
            </w:pPr>
            <w:r w:rsidRPr="00074885">
              <w:rPr>
                <w:rFonts w:ascii="Arial Nova" w:hAnsi="Arial Nova" w:cs="Arial"/>
              </w:rPr>
              <w:t>Discussion Points</w:t>
            </w:r>
          </w:p>
        </w:tc>
        <w:tc>
          <w:tcPr>
            <w:tcW w:w="3150" w:type="dxa"/>
          </w:tcPr>
          <w:p w14:paraId="45D4F7F7" w14:textId="5591367A" w:rsidR="00D67730" w:rsidRPr="00074885" w:rsidRDefault="00D67730" w:rsidP="00D67730">
            <w:pPr>
              <w:jc w:val="center"/>
              <w:rPr>
                <w:rFonts w:ascii="Arial Nova" w:hAnsi="Arial Nova" w:cs="Arial"/>
              </w:rPr>
            </w:pPr>
            <w:r w:rsidRPr="00074885">
              <w:rPr>
                <w:rFonts w:ascii="Arial Nova" w:hAnsi="Arial Nova" w:cs="Arial"/>
              </w:rPr>
              <w:t>Outcome / Decision</w:t>
            </w:r>
          </w:p>
        </w:tc>
      </w:tr>
      <w:tr w:rsidR="00D67730" w:rsidRPr="00AC4E93" w14:paraId="7FBAB82F" w14:textId="163986E4" w:rsidTr="001D2E25">
        <w:tc>
          <w:tcPr>
            <w:tcW w:w="2790" w:type="dxa"/>
          </w:tcPr>
          <w:p w14:paraId="1166E077" w14:textId="4D786F74" w:rsidR="00D67730" w:rsidRPr="00AA1DEB" w:rsidRDefault="00855110" w:rsidP="001D2E25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Learning analytics governance</w:t>
            </w:r>
          </w:p>
          <w:p w14:paraId="39C082FF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06D00022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0087F980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783BF4DC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500" w:type="dxa"/>
          </w:tcPr>
          <w:p w14:paraId="2A44836E" w14:textId="77777777" w:rsidR="00D67730" w:rsidRPr="00AA1DEB" w:rsidRDefault="00855110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The Committee provided comments on the latest version of the learning analytics governance policy.</w:t>
            </w:r>
          </w:p>
          <w:p w14:paraId="008B564C" w14:textId="06208EDC" w:rsidR="00855110" w:rsidRPr="00AA1DEB" w:rsidRDefault="00855110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Members noted that the wording of the policy was complex and suggested that a summary document or communications launch might help explain the concepts in simpler terms.</w:t>
            </w:r>
          </w:p>
          <w:p w14:paraId="2F2D8100" w14:textId="2EC765EF" w:rsidR="00855110" w:rsidRPr="00AA1DEB" w:rsidRDefault="00855110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Student and staff consultation on learning analytics will be taking place over the next few months.</w:t>
            </w:r>
          </w:p>
        </w:tc>
        <w:tc>
          <w:tcPr>
            <w:tcW w:w="3150" w:type="dxa"/>
          </w:tcPr>
          <w:p w14:paraId="37F8893C" w14:textId="3388D5D1" w:rsidR="00D67730" w:rsidRPr="00AA1DEB" w:rsidRDefault="00855110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The Committee endorsed the direction of travel and agreed with the user pathway approach set out in section 11 of the policy.</w:t>
            </w:r>
          </w:p>
        </w:tc>
      </w:tr>
      <w:tr w:rsidR="00D67730" w:rsidRPr="00AC4E93" w14:paraId="363D6973" w14:textId="54B5834F" w:rsidTr="001D2E25">
        <w:tc>
          <w:tcPr>
            <w:tcW w:w="2790" w:type="dxa"/>
          </w:tcPr>
          <w:p w14:paraId="434C22F2" w14:textId="281698C6" w:rsidR="00D67730" w:rsidRPr="00AA1DEB" w:rsidRDefault="00855110" w:rsidP="001D2E25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2023 NSS</w:t>
            </w:r>
          </w:p>
          <w:p w14:paraId="2FBCFDF6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1E5DD243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1DF128D0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3938E573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500" w:type="dxa"/>
          </w:tcPr>
          <w:p w14:paraId="0AE5913F" w14:textId="77777777" w:rsidR="00D67730" w:rsidRPr="00AA1DEB" w:rsidRDefault="00855110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The group received a summary of the College’s 2023 NSS results.</w:t>
            </w:r>
          </w:p>
          <w:p w14:paraId="30A3DADD" w14:textId="77777777" w:rsidR="00855110" w:rsidRPr="00AA1DEB" w:rsidRDefault="00855110" w:rsidP="00855110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Split metric data (including by disability, sex, domicile, ethnicity) was shared.</w:t>
            </w:r>
          </w:p>
          <w:p w14:paraId="56C748B7" w14:textId="1A1725D2" w:rsidR="00855110" w:rsidRPr="00AA1DEB" w:rsidRDefault="00855110" w:rsidP="00855110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 xml:space="preserve">An updated was provided on some of the work being done by the Disability Advisory Service in response to survey data gathered by the College.  </w:t>
            </w:r>
          </w:p>
        </w:tc>
        <w:tc>
          <w:tcPr>
            <w:tcW w:w="3150" w:type="dxa"/>
          </w:tcPr>
          <w:p w14:paraId="527B5699" w14:textId="451B19A6" w:rsidR="00D67730" w:rsidRPr="00AA1DEB" w:rsidRDefault="00AA1DEB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N/A – information item.</w:t>
            </w:r>
          </w:p>
        </w:tc>
      </w:tr>
      <w:tr w:rsidR="00D67730" w:rsidRPr="00AC4E93" w14:paraId="52C61605" w14:textId="60B610CF" w:rsidTr="001D2E25">
        <w:tc>
          <w:tcPr>
            <w:tcW w:w="2790" w:type="dxa"/>
          </w:tcPr>
          <w:p w14:paraId="6293F552" w14:textId="15B02F5B" w:rsidR="00D67730" w:rsidRPr="00AA1DEB" w:rsidRDefault="00855110" w:rsidP="001D2E25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2023 TEF</w:t>
            </w:r>
          </w:p>
          <w:p w14:paraId="1C98F9BF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4A2FCE36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49163113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6D0339DD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500" w:type="dxa"/>
          </w:tcPr>
          <w:p w14:paraId="2FCFD25D" w14:textId="3DF95DBA" w:rsidR="00D67730" w:rsidRPr="00AA1DEB" w:rsidRDefault="00855110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 xml:space="preserve">The group noted that the College </w:t>
            </w:r>
            <w:r w:rsidRPr="00AA1DEB">
              <w:rPr>
                <w:rFonts w:ascii="Arial Nova" w:hAnsi="Arial Nova" w:cs="Arial"/>
                <w:sz w:val="21"/>
                <w:szCs w:val="21"/>
              </w:rPr>
              <w:t>had been awarded an overall TEF 2023 rating of Gold, with the two individual aspect ratings being Silver for student experience and Gold for student outcomes.</w:t>
            </w:r>
          </w:p>
        </w:tc>
        <w:tc>
          <w:tcPr>
            <w:tcW w:w="3150" w:type="dxa"/>
          </w:tcPr>
          <w:p w14:paraId="43AFBE40" w14:textId="1454F876" w:rsidR="00D67730" w:rsidRPr="00AA1DEB" w:rsidRDefault="00AA1DEB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Peter Haynes and the Vice-Deans (Education) will discuss options for sharing the feedback provided by the TEF panel.</w:t>
            </w:r>
          </w:p>
        </w:tc>
      </w:tr>
      <w:tr w:rsidR="00D67730" w:rsidRPr="00AC4E93" w14:paraId="3A13E81C" w14:textId="77777777" w:rsidTr="001D2E25">
        <w:tc>
          <w:tcPr>
            <w:tcW w:w="2790" w:type="dxa"/>
          </w:tcPr>
          <w:p w14:paraId="5C06C7BA" w14:textId="59D60BB0" w:rsidR="00D67730" w:rsidRPr="00AA1DEB" w:rsidRDefault="00855110" w:rsidP="001D2E25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September 2023 admissions update</w:t>
            </w:r>
          </w:p>
          <w:p w14:paraId="4058B948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01A4070A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244D660A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0F4297AC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500" w:type="dxa"/>
          </w:tcPr>
          <w:p w14:paraId="11CA1C2C" w14:textId="77777777" w:rsidR="00D67730" w:rsidRPr="00AA1DEB" w:rsidRDefault="00AA1DEB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The Director of Marketing, Recruitment and Admissions presented a September 2023 snapshot of admissions.</w:t>
            </w:r>
          </w:p>
          <w:p w14:paraId="08C166B9" w14:textId="4D5FB256" w:rsidR="00AA1DEB" w:rsidRPr="00AA1DEB" w:rsidRDefault="00AA1DEB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The group discussed possible changes ahead of next year’s confirmation process.</w:t>
            </w:r>
          </w:p>
        </w:tc>
        <w:tc>
          <w:tcPr>
            <w:tcW w:w="3150" w:type="dxa"/>
          </w:tcPr>
          <w:p w14:paraId="7E8E7463" w14:textId="4259441F" w:rsidR="00D67730" w:rsidRPr="00AA1DEB" w:rsidRDefault="00AA1DEB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N/A – information item.</w:t>
            </w:r>
          </w:p>
        </w:tc>
      </w:tr>
      <w:tr w:rsidR="00D67730" w:rsidRPr="00AC4E93" w14:paraId="4F702B63" w14:textId="77777777" w:rsidTr="001D2E25">
        <w:tc>
          <w:tcPr>
            <w:tcW w:w="2790" w:type="dxa"/>
          </w:tcPr>
          <w:p w14:paraId="4DEDC218" w14:textId="4246EE55" w:rsidR="00D67730" w:rsidRPr="00AA1DEB" w:rsidRDefault="00855110" w:rsidP="001D2E25">
            <w:pPr>
              <w:pStyle w:val="ListParagraph"/>
              <w:numPr>
                <w:ilvl w:val="0"/>
                <w:numId w:val="1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AI tools for assessment and teaching guidance</w:t>
            </w:r>
          </w:p>
          <w:p w14:paraId="54F23283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17421E82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310CB6F4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  <w:p w14:paraId="3AE27CEE" w14:textId="77777777" w:rsidR="00D67730" w:rsidRPr="00AA1DEB" w:rsidRDefault="00D67730">
            <w:pPr>
              <w:rPr>
                <w:rFonts w:ascii="Arial Nova" w:hAnsi="Arial Nova" w:cs="Arial"/>
                <w:sz w:val="21"/>
                <w:szCs w:val="21"/>
              </w:rPr>
            </w:pPr>
          </w:p>
        </w:tc>
        <w:tc>
          <w:tcPr>
            <w:tcW w:w="4500" w:type="dxa"/>
          </w:tcPr>
          <w:p w14:paraId="4C1082A5" w14:textId="77777777" w:rsidR="00D67730" w:rsidRPr="00AA1DEB" w:rsidRDefault="00AA1DEB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The group was asked to approve guidance on the use of AI tools for assessment and teaching.</w:t>
            </w:r>
          </w:p>
          <w:p w14:paraId="1DDF849D" w14:textId="51609CDC" w:rsidR="00AA1DEB" w:rsidRPr="00AA1DEB" w:rsidRDefault="00AA1DEB" w:rsidP="001D2E25">
            <w:pPr>
              <w:pStyle w:val="ListParagraph"/>
              <w:numPr>
                <w:ilvl w:val="0"/>
                <w:numId w:val="2"/>
              </w:numPr>
              <w:rPr>
                <w:rFonts w:ascii="Arial Nova" w:hAnsi="Arial Nova" w:cs="Arial"/>
                <w:sz w:val="21"/>
                <w:szCs w:val="21"/>
              </w:rPr>
            </w:pPr>
            <w:r w:rsidRPr="00AA1DEB">
              <w:rPr>
                <w:rFonts w:ascii="Arial Nova" w:hAnsi="Arial Nova" w:cs="Arial"/>
                <w:sz w:val="21"/>
                <w:szCs w:val="21"/>
              </w:rPr>
              <w:t>The guidance has been put together by the AI Tools Working Group, which reports to ESEC</w:t>
            </w:r>
          </w:p>
        </w:tc>
        <w:tc>
          <w:tcPr>
            <w:tcW w:w="3150" w:type="dxa"/>
          </w:tcPr>
          <w:p w14:paraId="015D490E" w14:textId="77777777" w:rsidR="00AA1DEB" w:rsidRPr="00AA1DEB" w:rsidRDefault="00AA1DEB" w:rsidP="00AA1DEB">
            <w:pPr>
              <w:pStyle w:val="ListParagraph"/>
              <w:numPr>
                <w:ilvl w:val="0"/>
                <w:numId w:val="2"/>
              </w:numPr>
              <w:tabs>
                <w:tab w:val="center" w:pos="4153"/>
              </w:tabs>
              <w:rPr>
                <w:rFonts w:ascii="Arial" w:eastAsia="Arial" w:hAnsi="Arial" w:cs="Arial"/>
                <w:kern w:val="18"/>
                <w:sz w:val="21"/>
                <w:szCs w:val="21"/>
                <w:u w:val="single"/>
              </w:rPr>
            </w:pPr>
            <w:r w:rsidRPr="00AA1DEB">
              <w:rPr>
                <w:rFonts w:ascii="Arial" w:eastAsia="Arial" w:hAnsi="Arial" w:cs="Arial"/>
                <w:kern w:val="18"/>
                <w:sz w:val="21"/>
                <w:szCs w:val="21"/>
              </w:rPr>
              <w:t>T</w:t>
            </w:r>
            <w:r w:rsidRPr="00AA1DEB">
              <w:rPr>
                <w:rFonts w:ascii="Arial Nova" w:hAnsi="Arial Nova" w:cs="Arial"/>
                <w:sz w:val="21"/>
                <w:szCs w:val="21"/>
              </w:rPr>
              <w:t xml:space="preserve">he group approved the guidance document and agreed that it could be circulated within departments, on the understanding that the document was pending final Senate approval. </w:t>
            </w:r>
          </w:p>
          <w:p w14:paraId="22EF3FD2" w14:textId="3754915C" w:rsidR="00D67730" w:rsidRPr="00AA1DEB" w:rsidRDefault="00D67730" w:rsidP="00AA1DEB">
            <w:pPr>
              <w:pStyle w:val="ListParagraph"/>
              <w:ind w:left="360"/>
              <w:rPr>
                <w:rFonts w:ascii="Arial Nova" w:hAnsi="Arial Nova" w:cs="Arial"/>
                <w:sz w:val="21"/>
                <w:szCs w:val="21"/>
              </w:rPr>
            </w:pPr>
          </w:p>
        </w:tc>
      </w:tr>
    </w:tbl>
    <w:p w14:paraId="279CCB1A" w14:textId="77777777" w:rsidR="00AA1DEB" w:rsidRPr="00AC4E93" w:rsidRDefault="00AA1DEB">
      <w:pPr>
        <w:rPr>
          <w:rFonts w:ascii="Arial Nova" w:hAnsi="Arial Nova"/>
        </w:rPr>
      </w:pPr>
    </w:p>
    <w:sectPr w:rsidR="00013568" w:rsidRPr="00AC4E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C7725"/>
    <w:multiLevelType w:val="hybridMultilevel"/>
    <w:tmpl w:val="59E03B6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F945A01"/>
    <w:multiLevelType w:val="hybridMultilevel"/>
    <w:tmpl w:val="4CBC3F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86B1D"/>
    <w:multiLevelType w:val="hybridMultilevel"/>
    <w:tmpl w:val="B060D4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5494210">
    <w:abstractNumId w:val="0"/>
  </w:num>
  <w:num w:numId="2" w16cid:durableId="1221093292">
    <w:abstractNumId w:val="2"/>
  </w:num>
  <w:num w:numId="3" w16cid:durableId="1468738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30"/>
    <w:rsid w:val="00074885"/>
    <w:rsid w:val="001D2E25"/>
    <w:rsid w:val="005E0A34"/>
    <w:rsid w:val="00855110"/>
    <w:rsid w:val="00AA1DEB"/>
    <w:rsid w:val="00AC4E93"/>
    <w:rsid w:val="00D67730"/>
    <w:rsid w:val="00DD02C9"/>
    <w:rsid w:val="00DE45C4"/>
    <w:rsid w:val="00ED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566F9"/>
  <w15:chartTrackingRefBased/>
  <w15:docId w15:val="{C6459416-14B2-40ED-B37D-49FB731FC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7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2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11" ma:contentTypeDescription="Create a new document." ma:contentTypeScope="" ma:versionID="510eb418b1a8368d96946480a839fdfa">
  <xsd:schema xmlns:xsd="http://www.w3.org/2001/XMLSchema" xmlns:xs="http://www.w3.org/2001/XMLSchema" xmlns:p="http://schemas.microsoft.com/office/2006/metadata/properties" xmlns:ns2="a6f06b9f-24d2-4ba3-bf73-3dea83bb1095" xmlns:ns3="8ddd0975-05bf-41ff-8294-8524838a6cb3" targetNamespace="http://schemas.microsoft.com/office/2006/metadata/properties" ma:root="true" ma:fieldsID="87775fccfc651e0ba9e9e0a35879f319" ns2:_="" ns3:_="">
    <xsd:import namespace="a6f06b9f-24d2-4ba3-bf73-3dea83bb1095"/>
    <xsd:import namespace="8ddd0975-05bf-41ff-8294-8524838a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0975-05bf-41ff-8294-8524838a6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142091-FCF2-44DB-9C9F-D0C72A5F5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6AC261-4E8D-4317-8436-E0F7FD5AD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06b9f-24d2-4ba3-bf73-3dea83bb1095"/>
    <ds:schemaRef ds:uri="8ddd0975-05bf-41ff-8294-8524838a6c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0BCB89-3874-450F-A5C5-C160425887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Ewan D A</dc:creator>
  <cp:keywords/>
  <dc:description/>
  <cp:lastModifiedBy>Roberts, Ewan D A</cp:lastModifiedBy>
  <cp:revision>2</cp:revision>
  <dcterms:created xsi:type="dcterms:W3CDTF">2023-09-28T17:04:00Z</dcterms:created>
  <dcterms:modified xsi:type="dcterms:W3CDTF">2023-09-28T17:04:00Z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