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D90D4" w14:textId="6FC80DC2" w:rsidR="00F0412E" w:rsidRDefault="00F0412E" w:rsidP="00F0412E">
      <w:pPr>
        <w:spacing w:after="0" w:line="240" w:lineRule="auto"/>
        <w:rPr>
          <w:rFonts w:ascii="Arial" w:hAnsi="Arial" w:cs="Arial"/>
          <w:b/>
          <w:sz w:val="24"/>
          <w:szCs w:val="24"/>
        </w:rPr>
      </w:pPr>
      <w:r w:rsidRPr="00F0412E">
        <w:rPr>
          <w:rFonts w:ascii="Arial" w:hAnsi="Arial" w:cs="Arial"/>
          <w:b/>
          <w:sz w:val="24"/>
          <w:szCs w:val="24"/>
        </w:rPr>
        <w:t xml:space="preserve">Recruitment and GDPR </w:t>
      </w:r>
      <w:r>
        <w:rPr>
          <w:rFonts w:ascii="Arial" w:hAnsi="Arial" w:cs="Arial"/>
          <w:b/>
          <w:sz w:val="24"/>
          <w:szCs w:val="24"/>
        </w:rPr>
        <w:t>c</w:t>
      </w:r>
      <w:r w:rsidRPr="00F0412E">
        <w:rPr>
          <w:rFonts w:ascii="Arial" w:hAnsi="Arial" w:cs="Arial"/>
          <w:b/>
          <w:sz w:val="24"/>
          <w:szCs w:val="24"/>
        </w:rPr>
        <w:t>ompliance</w:t>
      </w:r>
    </w:p>
    <w:p w14:paraId="53C4ACDB" w14:textId="77777777" w:rsidR="00F0412E" w:rsidRPr="00F0412E" w:rsidRDefault="00F0412E" w:rsidP="00F0412E">
      <w:pPr>
        <w:spacing w:after="0" w:line="240" w:lineRule="auto"/>
        <w:rPr>
          <w:rFonts w:ascii="Arial" w:hAnsi="Arial" w:cs="Arial"/>
          <w:b/>
          <w:sz w:val="24"/>
          <w:szCs w:val="24"/>
        </w:rPr>
      </w:pPr>
    </w:p>
    <w:p w14:paraId="4B89EBB5" w14:textId="4AF0D4E5" w:rsidR="00F0412E" w:rsidRDefault="00F0412E" w:rsidP="00F0412E">
      <w:pPr>
        <w:spacing w:after="0" w:line="240" w:lineRule="auto"/>
        <w:contextualSpacing/>
        <w:rPr>
          <w:rFonts w:ascii="Arial" w:hAnsi="Arial" w:cs="Arial"/>
          <w:sz w:val="24"/>
          <w:szCs w:val="24"/>
        </w:rPr>
      </w:pPr>
      <w:r w:rsidRPr="00F0412E">
        <w:rPr>
          <w:rFonts w:ascii="Arial" w:hAnsi="Arial" w:cs="Arial"/>
          <w:sz w:val="24"/>
          <w:szCs w:val="24"/>
        </w:rPr>
        <w:t>This guidance is applicable to those involved in the recruitment process i.e. Recruitment Administrators</w:t>
      </w:r>
      <w:r w:rsidR="00EB1CD4">
        <w:rPr>
          <w:rFonts w:ascii="Arial" w:hAnsi="Arial" w:cs="Arial"/>
          <w:sz w:val="24"/>
          <w:szCs w:val="24"/>
        </w:rPr>
        <w:t xml:space="preserve"> (RAs)</w:t>
      </w:r>
      <w:r w:rsidRPr="00F0412E">
        <w:rPr>
          <w:rFonts w:ascii="Arial" w:hAnsi="Arial" w:cs="Arial"/>
          <w:sz w:val="24"/>
          <w:szCs w:val="24"/>
        </w:rPr>
        <w:t>, Hiring Managers</w:t>
      </w:r>
      <w:r w:rsidR="00EB1CD4">
        <w:rPr>
          <w:rFonts w:ascii="Arial" w:hAnsi="Arial" w:cs="Arial"/>
          <w:sz w:val="24"/>
          <w:szCs w:val="24"/>
        </w:rPr>
        <w:t xml:space="preserve"> (HMs)</w:t>
      </w:r>
      <w:r w:rsidRPr="00F0412E">
        <w:rPr>
          <w:rFonts w:ascii="Arial" w:hAnsi="Arial" w:cs="Arial"/>
          <w:sz w:val="24"/>
          <w:szCs w:val="24"/>
        </w:rPr>
        <w:t>, Hiring Chairs</w:t>
      </w:r>
      <w:r w:rsidR="00EB1CD4">
        <w:rPr>
          <w:rFonts w:ascii="Arial" w:hAnsi="Arial" w:cs="Arial"/>
          <w:sz w:val="24"/>
          <w:szCs w:val="24"/>
        </w:rPr>
        <w:t xml:space="preserve"> (HCs)</w:t>
      </w:r>
      <w:r w:rsidR="00E81375">
        <w:rPr>
          <w:rFonts w:ascii="Arial" w:hAnsi="Arial" w:cs="Arial"/>
          <w:sz w:val="24"/>
          <w:szCs w:val="24"/>
        </w:rPr>
        <w:t>,</w:t>
      </w:r>
      <w:r w:rsidRPr="00F0412E">
        <w:rPr>
          <w:rFonts w:ascii="Arial" w:hAnsi="Arial" w:cs="Arial"/>
          <w:sz w:val="24"/>
          <w:szCs w:val="24"/>
        </w:rPr>
        <w:t xml:space="preserve"> and Hiring Panels</w:t>
      </w:r>
      <w:r w:rsidR="00EB1CD4">
        <w:rPr>
          <w:rFonts w:ascii="Arial" w:hAnsi="Arial" w:cs="Arial"/>
          <w:sz w:val="24"/>
          <w:szCs w:val="24"/>
        </w:rPr>
        <w:t xml:space="preserve"> (HPs)</w:t>
      </w:r>
      <w:r w:rsidRPr="00F0412E">
        <w:rPr>
          <w:rFonts w:ascii="Arial" w:hAnsi="Arial" w:cs="Arial"/>
          <w:sz w:val="24"/>
          <w:szCs w:val="24"/>
        </w:rPr>
        <w:t xml:space="preserve">. </w:t>
      </w:r>
    </w:p>
    <w:p w14:paraId="4F7F9102" w14:textId="6BEAC866" w:rsidR="0053569C" w:rsidRDefault="0053569C" w:rsidP="00F0412E">
      <w:pPr>
        <w:spacing w:after="0" w:line="240" w:lineRule="auto"/>
        <w:contextualSpacing/>
        <w:rPr>
          <w:rFonts w:ascii="Arial" w:hAnsi="Arial" w:cs="Arial"/>
          <w:sz w:val="24"/>
          <w:szCs w:val="24"/>
        </w:rPr>
      </w:pPr>
    </w:p>
    <w:p w14:paraId="2916E69E" w14:textId="6E9A1516" w:rsidR="0053569C" w:rsidRDefault="0053569C" w:rsidP="00F0412E">
      <w:pPr>
        <w:spacing w:after="0" w:line="240" w:lineRule="auto"/>
        <w:contextualSpacing/>
        <w:rPr>
          <w:rFonts w:ascii="Arial" w:hAnsi="Arial" w:cs="Arial"/>
          <w:sz w:val="24"/>
          <w:szCs w:val="24"/>
        </w:rPr>
      </w:pPr>
    </w:p>
    <w:p w14:paraId="2827D718" w14:textId="77777777" w:rsidR="0053569C" w:rsidRPr="00F0412E" w:rsidRDefault="0053569C" w:rsidP="00F0412E">
      <w:pPr>
        <w:spacing w:after="0" w:line="240" w:lineRule="auto"/>
        <w:contextualSpacing/>
        <w:rPr>
          <w:rFonts w:ascii="Arial" w:hAnsi="Arial" w:cs="Arial"/>
          <w:sz w:val="24"/>
          <w:szCs w:val="24"/>
        </w:rPr>
      </w:pPr>
    </w:p>
    <w:p w14:paraId="05245EAB" w14:textId="77777777" w:rsidR="00F0412E" w:rsidRPr="000D2244" w:rsidRDefault="00F0412E" w:rsidP="00F0412E">
      <w:pPr>
        <w:spacing w:after="0" w:line="240" w:lineRule="auto"/>
        <w:contextualSpacing/>
        <w:jc w:val="both"/>
        <w:rPr>
          <w:rFonts w:cs="Arial"/>
        </w:rPr>
      </w:pPr>
    </w:p>
    <w:p w14:paraId="5F50666A" w14:textId="51CADE27" w:rsidR="00F0412E" w:rsidRPr="00F0412E" w:rsidRDefault="00F0412E" w:rsidP="00F0412E">
      <w:pPr>
        <w:jc w:val="center"/>
        <w:rPr>
          <w:rFonts w:cs="Arial"/>
          <w:b/>
          <w:color w:val="002060"/>
          <w:sz w:val="36"/>
          <w:szCs w:val="36"/>
        </w:rPr>
      </w:pPr>
      <w:r w:rsidRPr="00F0412E">
        <w:rPr>
          <w:rFonts w:cs="Arial"/>
          <w:b/>
          <w:color w:val="002060"/>
          <w:sz w:val="36"/>
          <w:szCs w:val="36"/>
        </w:rPr>
        <w:t>GDPR Fundamentals</w:t>
      </w:r>
    </w:p>
    <w:p w14:paraId="2A75D55D" w14:textId="6EB96F75" w:rsidR="00F0412E" w:rsidRPr="000D2244" w:rsidRDefault="0053569C" w:rsidP="00F0412E">
      <w:pPr>
        <w:spacing w:after="0" w:line="240" w:lineRule="auto"/>
        <w:contextualSpacing/>
        <w:jc w:val="center"/>
        <w:rPr>
          <w:rFonts w:cs="Arial"/>
          <w:b/>
          <w:noProof/>
          <w:color w:val="002060"/>
        </w:rPr>
      </w:pPr>
      <w:r w:rsidRPr="000D2244">
        <w:rPr>
          <w:noProof/>
        </w:rPr>
        <mc:AlternateContent>
          <mc:Choice Requires="wps">
            <w:drawing>
              <wp:anchor distT="45720" distB="45720" distL="114300" distR="114300" simplePos="0" relativeHeight="251718656" behindDoc="0" locked="0" layoutInCell="1" allowOverlap="1" wp14:anchorId="72349B1D" wp14:editId="286667FB">
                <wp:simplePos x="0" y="0"/>
                <wp:positionH relativeFrom="margin">
                  <wp:align>left</wp:align>
                </wp:positionH>
                <wp:positionV relativeFrom="paragraph">
                  <wp:posOffset>4991735</wp:posOffset>
                </wp:positionV>
                <wp:extent cx="5979160" cy="2352675"/>
                <wp:effectExtent l="0" t="0" r="254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160" cy="2352675"/>
                        </a:xfrm>
                        <a:prstGeom prst="rect">
                          <a:avLst/>
                        </a:prstGeom>
                        <a:solidFill>
                          <a:srgbClr val="FFFFFF"/>
                        </a:solidFill>
                        <a:ln w="9525">
                          <a:noFill/>
                          <a:miter lim="800000"/>
                          <a:headEnd/>
                          <a:tailEnd/>
                        </a:ln>
                        <a:effectLst>
                          <a:softEdge rad="127000"/>
                        </a:effectLst>
                      </wps:spPr>
                      <wps:txbx>
                        <w:txbxContent>
                          <w:p w14:paraId="4A228479" w14:textId="77777777" w:rsidR="00F0412E" w:rsidRDefault="00F0412E" w:rsidP="00F0412E">
                            <w:pPr>
                              <w:shd w:val="clear" w:color="auto" w:fill="E2EFD9"/>
                              <w:rPr>
                                <w:b/>
                                <w:sz w:val="32"/>
                                <w:szCs w:val="32"/>
                              </w:rPr>
                            </w:pPr>
                            <w:r w:rsidRPr="00FD3FEC">
                              <w:rPr>
                                <w:b/>
                                <w:sz w:val="32"/>
                                <w:szCs w:val="32"/>
                              </w:rPr>
                              <w:t>Who does it affect?</w:t>
                            </w:r>
                          </w:p>
                          <w:p w14:paraId="2940E276" w14:textId="77777777" w:rsidR="00F0412E" w:rsidRPr="00F32526" w:rsidRDefault="00F0412E" w:rsidP="00F0412E">
                            <w:pPr>
                              <w:pStyle w:val="textbox"/>
                              <w:shd w:val="clear" w:color="auto" w:fill="E2EFD9"/>
                              <w:spacing w:before="0" w:beforeAutospacing="0" w:after="0" w:afterAutospacing="0"/>
                              <w:jc w:val="both"/>
                              <w:rPr>
                                <w:rFonts w:ascii="Arial" w:hAnsi="Arial" w:cs="Arial"/>
                              </w:rPr>
                            </w:pPr>
                          </w:p>
                          <w:p w14:paraId="393C8DCD" w14:textId="77777777" w:rsidR="00F0412E" w:rsidRPr="00346C14" w:rsidRDefault="00F0412E" w:rsidP="00F0412E">
                            <w:pPr>
                              <w:pStyle w:val="textbox"/>
                              <w:shd w:val="clear" w:color="auto" w:fill="E2EFD9"/>
                              <w:spacing w:before="0" w:beforeAutospacing="0" w:after="0" w:afterAutospacing="0"/>
                              <w:rPr>
                                <w:rFonts w:ascii="Arial" w:hAnsi="Arial" w:cs="Arial"/>
                                <w:sz w:val="22"/>
                                <w:szCs w:val="22"/>
                              </w:rPr>
                            </w:pPr>
                            <w:r w:rsidRPr="00346C14">
                              <w:rPr>
                                <w:rFonts w:ascii="Arial" w:hAnsi="Arial" w:cs="Arial"/>
                                <w:b/>
                                <w:sz w:val="22"/>
                                <w:szCs w:val="22"/>
                              </w:rPr>
                              <w:t>Data Controllers</w:t>
                            </w:r>
                            <w:r w:rsidRPr="00346C14">
                              <w:rPr>
                                <w:rFonts w:ascii="Arial" w:hAnsi="Arial" w:cs="Arial"/>
                                <w:sz w:val="22"/>
                                <w:szCs w:val="22"/>
                              </w:rPr>
                              <w:t xml:space="preserve"> – as the recruiting organisation, Imperial College, is </w:t>
                            </w:r>
                            <w:r>
                              <w:rPr>
                                <w:rFonts w:ascii="Arial" w:hAnsi="Arial" w:cs="Arial"/>
                                <w:sz w:val="22"/>
                                <w:szCs w:val="22"/>
                              </w:rPr>
                              <w:t xml:space="preserve">the </w:t>
                            </w:r>
                            <w:r w:rsidRPr="00346C14">
                              <w:rPr>
                                <w:rFonts w:ascii="Arial" w:hAnsi="Arial" w:cs="Arial"/>
                                <w:sz w:val="22"/>
                                <w:szCs w:val="22"/>
                              </w:rPr>
                              <w:t xml:space="preserve">data controller. The GDPR requires compliance from any organisation that collects personal data from someone in the EU. </w:t>
                            </w:r>
                          </w:p>
                          <w:p w14:paraId="6318CF81" w14:textId="77777777" w:rsidR="00F0412E" w:rsidRPr="00346C14" w:rsidRDefault="00F0412E" w:rsidP="00F0412E">
                            <w:pPr>
                              <w:pStyle w:val="textbox"/>
                              <w:shd w:val="clear" w:color="auto" w:fill="E2EFD9"/>
                              <w:spacing w:before="0" w:beforeAutospacing="0" w:after="0" w:afterAutospacing="0"/>
                              <w:rPr>
                                <w:rFonts w:ascii="Arial" w:hAnsi="Arial" w:cs="Arial"/>
                                <w:b/>
                                <w:sz w:val="22"/>
                                <w:szCs w:val="22"/>
                              </w:rPr>
                            </w:pPr>
                          </w:p>
                          <w:p w14:paraId="49DD867E" w14:textId="77777777" w:rsidR="00F0412E" w:rsidRPr="00346C14" w:rsidRDefault="00F0412E" w:rsidP="00F0412E">
                            <w:pPr>
                              <w:pStyle w:val="textbox"/>
                              <w:shd w:val="clear" w:color="auto" w:fill="E2EFD9"/>
                              <w:spacing w:before="0" w:beforeAutospacing="0" w:after="0" w:afterAutospacing="0"/>
                              <w:rPr>
                                <w:rFonts w:ascii="Arial" w:hAnsi="Arial" w:cs="Arial"/>
                                <w:sz w:val="22"/>
                                <w:szCs w:val="22"/>
                              </w:rPr>
                            </w:pPr>
                            <w:r w:rsidRPr="00346C14">
                              <w:rPr>
                                <w:rFonts w:ascii="Arial" w:hAnsi="Arial" w:cs="Arial"/>
                                <w:b/>
                                <w:sz w:val="22"/>
                                <w:szCs w:val="22"/>
                              </w:rPr>
                              <w:t>Data Subjects</w:t>
                            </w:r>
                            <w:r w:rsidRPr="00346C14">
                              <w:rPr>
                                <w:rFonts w:ascii="Arial" w:hAnsi="Arial" w:cs="Arial"/>
                                <w:sz w:val="22"/>
                                <w:szCs w:val="22"/>
                              </w:rPr>
                              <w:t xml:space="preserve"> – </w:t>
                            </w:r>
                            <w:r>
                              <w:rPr>
                                <w:rFonts w:ascii="Arial" w:hAnsi="Arial" w:cs="Arial"/>
                                <w:sz w:val="22"/>
                                <w:szCs w:val="22"/>
                              </w:rPr>
                              <w:t>refers to the applicant/</w:t>
                            </w:r>
                            <w:r w:rsidRPr="00346C14">
                              <w:rPr>
                                <w:rFonts w:ascii="Arial" w:hAnsi="Arial" w:cs="Arial"/>
                                <w:sz w:val="22"/>
                                <w:szCs w:val="22"/>
                              </w:rPr>
                              <w:t>candidate</w:t>
                            </w:r>
                            <w:r>
                              <w:rPr>
                                <w:rFonts w:ascii="Arial" w:hAnsi="Arial" w:cs="Arial"/>
                                <w:sz w:val="22"/>
                                <w:szCs w:val="22"/>
                              </w:rPr>
                              <w:t xml:space="preserve"> who is providing their personal data as part of the Imperial recruitment process. </w:t>
                            </w:r>
                          </w:p>
                          <w:p w14:paraId="527D6890" w14:textId="77777777" w:rsidR="00F0412E" w:rsidRPr="00346C14" w:rsidRDefault="00F0412E" w:rsidP="00F0412E">
                            <w:pPr>
                              <w:pStyle w:val="textbox"/>
                              <w:shd w:val="clear" w:color="auto" w:fill="E2EFD9"/>
                              <w:spacing w:before="0" w:beforeAutospacing="0" w:after="0" w:afterAutospacing="0"/>
                              <w:rPr>
                                <w:rFonts w:ascii="Arial" w:hAnsi="Arial" w:cs="Arial"/>
                                <w:b/>
                                <w:sz w:val="22"/>
                                <w:szCs w:val="22"/>
                              </w:rPr>
                            </w:pPr>
                          </w:p>
                          <w:p w14:paraId="30213F85" w14:textId="77777777" w:rsidR="00F0412E" w:rsidRPr="00346C14" w:rsidRDefault="00F0412E" w:rsidP="00F0412E">
                            <w:pPr>
                              <w:pStyle w:val="textbox"/>
                              <w:shd w:val="clear" w:color="auto" w:fill="E2EFD9"/>
                              <w:spacing w:before="0" w:beforeAutospacing="0" w:after="0" w:afterAutospacing="0"/>
                              <w:rPr>
                                <w:rFonts w:ascii="Arial" w:hAnsi="Arial" w:cs="Arial"/>
                                <w:sz w:val="22"/>
                                <w:szCs w:val="22"/>
                              </w:rPr>
                            </w:pPr>
                            <w:r w:rsidRPr="00346C14">
                              <w:rPr>
                                <w:rFonts w:ascii="Arial" w:hAnsi="Arial" w:cs="Arial"/>
                                <w:b/>
                                <w:sz w:val="22"/>
                                <w:szCs w:val="22"/>
                              </w:rPr>
                              <w:t>Data Processors –</w:t>
                            </w:r>
                            <w:r>
                              <w:rPr>
                                <w:rFonts w:ascii="Arial" w:hAnsi="Arial" w:cs="Arial"/>
                                <w:sz w:val="22"/>
                                <w:szCs w:val="22"/>
                                <w:shd w:val="clear" w:color="auto" w:fill="E2EFD9"/>
                              </w:rPr>
                              <w:t xml:space="preserve"> this is applicable anyone involved in the recruitment process such as </w:t>
                            </w:r>
                            <w:r w:rsidRPr="00346C14">
                              <w:rPr>
                                <w:rFonts w:ascii="Arial" w:hAnsi="Arial" w:cs="Arial"/>
                                <w:sz w:val="22"/>
                                <w:szCs w:val="22"/>
                              </w:rPr>
                              <w:t>RAs, HMs</w:t>
                            </w:r>
                            <w:r>
                              <w:rPr>
                                <w:rFonts w:ascii="Arial" w:hAnsi="Arial" w:cs="Arial"/>
                                <w:sz w:val="22"/>
                                <w:szCs w:val="22"/>
                              </w:rPr>
                              <w:t>, HCs</w:t>
                            </w:r>
                            <w:r w:rsidRPr="00346C14">
                              <w:rPr>
                                <w:rFonts w:ascii="Arial" w:hAnsi="Arial" w:cs="Arial"/>
                                <w:sz w:val="22"/>
                                <w:szCs w:val="22"/>
                              </w:rPr>
                              <w:t xml:space="preserve"> and HPs since they are responsible for processing personal applicant data on behalf of the Data Controller. They have a legal obligation to comply with the </w:t>
                            </w:r>
                            <w:r>
                              <w:rPr>
                                <w:rFonts w:ascii="Arial" w:hAnsi="Arial" w:cs="Arial"/>
                                <w:sz w:val="22"/>
                                <w:szCs w:val="22"/>
                              </w:rPr>
                              <w:t xml:space="preserve">GDPR.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49B1D" id="_x0000_t202" coordsize="21600,21600" o:spt="202" path="m,l,21600r21600,l21600,xe">
                <v:stroke joinstyle="miter"/>
                <v:path gradientshapeok="t" o:connecttype="rect"/>
              </v:shapetype>
              <v:shape id="Text Box 2" o:spid="_x0000_s1026" type="#_x0000_t202" style="position:absolute;left:0;text-align:left;margin-left:0;margin-top:393.05pt;width:470.8pt;height:185.25pt;z-index:251718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" stroked="f">
                <v:textbox>
                  <w:txbxContent>
                    <w:p w14:paraId="4A228479" w14:textId="77777777" w:rsidR="00F0412E" w:rsidRDefault="00F0412E" w:rsidP="00F0412E">
                      <w:pPr>
                        <w:shd w:val="clear" w:color="auto" w:fill="E2EFD9"/>
                        <w:rPr>
                          <w:b/>
                          <w:sz w:val="32"/>
                          <w:szCs w:val="32"/>
                        </w:rPr>
                      </w:pPr>
                      <w:r w:rsidRPr="00FD3FEC">
                        <w:rPr>
                          <w:b/>
                          <w:sz w:val="32"/>
                          <w:szCs w:val="32"/>
                        </w:rPr>
                        <w:t>Who does it affect?</w:t>
                      </w:r>
                    </w:p>
                    <w:p w14:paraId="2940E276" w14:textId="77777777" w:rsidR="00F0412E" w:rsidRPr="00F32526" w:rsidRDefault="00F0412E" w:rsidP="00F0412E">
                      <w:pPr>
                        <w:pStyle w:val="textbox"/>
                        <w:shd w:val="clear" w:color="auto" w:fill="E2EFD9"/>
                        <w:spacing w:before="0" w:beforeAutospacing="0" w:after="0" w:afterAutospacing="0"/>
                        <w:jc w:val="both"/>
                        <w:rPr>
                          <w:rFonts w:ascii="Arial" w:hAnsi="Arial" w:cs="Arial"/>
                        </w:rPr>
                      </w:pPr>
                    </w:p>
                    <w:p w14:paraId="393C8DCD" w14:textId="77777777" w:rsidR="00F0412E" w:rsidRPr="00346C14" w:rsidRDefault="00F0412E" w:rsidP="00F0412E">
                      <w:pPr>
                        <w:pStyle w:val="textbox"/>
                        <w:shd w:val="clear" w:color="auto" w:fill="E2EFD9"/>
                        <w:spacing w:before="0" w:beforeAutospacing="0" w:after="0" w:afterAutospacing="0"/>
                        <w:rPr>
                          <w:rFonts w:ascii="Arial" w:hAnsi="Arial" w:cs="Arial"/>
                          <w:sz w:val="22"/>
                          <w:szCs w:val="22"/>
                        </w:rPr>
                      </w:pPr>
                      <w:r w:rsidRPr="00346C14">
                        <w:rPr>
                          <w:rFonts w:ascii="Arial" w:hAnsi="Arial" w:cs="Arial"/>
                          <w:b/>
                          <w:sz w:val="22"/>
                          <w:szCs w:val="22"/>
                        </w:rPr>
                        <w:t>Data Controllers</w:t>
                      </w:r>
                      <w:r w:rsidRPr="00346C14">
                        <w:rPr>
                          <w:rFonts w:ascii="Arial" w:hAnsi="Arial" w:cs="Arial"/>
                          <w:sz w:val="22"/>
                          <w:szCs w:val="22"/>
                        </w:rPr>
                        <w:t xml:space="preserve"> – as the recruiting organisation, Imperial College, is </w:t>
                      </w:r>
                      <w:r>
                        <w:rPr>
                          <w:rFonts w:ascii="Arial" w:hAnsi="Arial" w:cs="Arial"/>
                          <w:sz w:val="22"/>
                          <w:szCs w:val="22"/>
                        </w:rPr>
                        <w:t xml:space="preserve">the </w:t>
                      </w:r>
                      <w:r w:rsidRPr="00346C14">
                        <w:rPr>
                          <w:rFonts w:ascii="Arial" w:hAnsi="Arial" w:cs="Arial"/>
                          <w:sz w:val="22"/>
                          <w:szCs w:val="22"/>
                        </w:rPr>
                        <w:t xml:space="preserve">data controller. The GDPR requires compliance from any organisation that collects personal data from someone in the EU. </w:t>
                      </w:r>
                    </w:p>
                    <w:p w14:paraId="6318CF81" w14:textId="77777777" w:rsidR="00F0412E" w:rsidRPr="00346C14" w:rsidRDefault="00F0412E" w:rsidP="00F0412E">
                      <w:pPr>
                        <w:pStyle w:val="textbox"/>
                        <w:shd w:val="clear" w:color="auto" w:fill="E2EFD9"/>
                        <w:spacing w:before="0" w:beforeAutospacing="0" w:after="0" w:afterAutospacing="0"/>
                        <w:rPr>
                          <w:rFonts w:ascii="Arial" w:hAnsi="Arial" w:cs="Arial"/>
                          <w:b/>
                          <w:sz w:val="22"/>
                          <w:szCs w:val="22"/>
                        </w:rPr>
                      </w:pPr>
                    </w:p>
                    <w:p w14:paraId="49DD867E" w14:textId="77777777" w:rsidR="00F0412E" w:rsidRPr="00346C14" w:rsidRDefault="00F0412E" w:rsidP="00F0412E">
                      <w:pPr>
                        <w:pStyle w:val="textbox"/>
                        <w:shd w:val="clear" w:color="auto" w:fill="E2EFD9"/>
                        <w:spacing w:before="0" w:beforeAutospacing="0" w:after="0" w:afterAutospacing="0"/>
                        <w:rPr>
                          <w:rFonts w:ascii="Arial" w:hAnsi="Arial" w:cs="Arial"/>
                          <w:sz w:val="22"/>
                          <w:szCs w:val="22"/>
                        </w:rPr>
                      </w:pPr>
                      <w:r w:rsidRPr="00346C14">
                        <w:rPr>
                          <w:rFonts w:ascii="Arial" w:hAnsi="Arial" w:cs="Arial"/>
                          <w:b/>
                          <w:sz w:val="22"/>
                          <w:szCs w:val="22"/>
                        </w:rPr>
                        <w:t>Data Subjects</w:t>
                      </w:r>
                      <w:r w:rsidRPr="00346C14">
                        <w:rPr>
                          <w:rFonts w:ascii="Arial" w:hAnsi="Arial" w:cs="Arial"/>
                          <w:sz w:val="22"/>
                          <w:szCs w:val="22"/>
                        </w:rPr>
                        <w:t xml:space="preserve"> – </w:t>
                      </w:r>
                      <w:r>
                        <w:rPr>
                          <w:rFonts w:ascii="Arial" w:hAnsi="Arial" w:cs="Arial"/>
                          <w:sz w:val="22"/>
                          <w:szCs w:val="22"/>
                        </w:rPr>
                        <w:t>refers to the applicant/</w:t>
                      </w:r>
                      <w:r w:rsidRPr="00346C14">
                        <w:rPr>
                          <w:rFonts w:ascii="Arial" w:hAnsi="Arial" w:cs="Arial"/>
                          <w:sz w:val="22"/>
                          <w:szCs w:val="22"/>
                        </w:rPr>
                        <w:t>candidate</w:t>
                      </w:r>
                      <w:r>
                        <w:rPr>
                          <w:rFonts w:ascii="Arial" w:hAnsi="Arial" w:cs="Arial"/>
                          <w:sz w:val="22"/>
                          <w:szCs w:val="22"/>
                        </w:rPr>
                        <w:t xml:space="preserve"> who is providing their personal data as part of the Imperial recruitment process. </w:t>
                      </w:r>
                    </w:p>
                    <w:p w14:paraId="527D6890" w14:textId="77777777" w:rsidR="00F0412E" w:rsidRPr="00346C14" w:rsidRDefault="00F0412E" w:rsidP="00F0412E">
                      <w:pPr>
                        <w:pStyle w:val="textbox"/>
                        <w:shd w:val="clear" w:color="auto" w:fill="E2EFD9"/>
                        <w:spacing w:before="0" w:beforeAutospacing="0" w:after="0" w:afterAutospacing="0"/>
                        <w:rPr>
                          <w:rFonts w:ascii="Arial" w:hAnsi="Arial" w:cs="Arial"/>
                          <w:b/>
                          <w:sz w:val="22"/>
                          <w:szCs w:val="22"/>
                        </w:rPr>
                      </w:pPr>
                    </w:p>
                    <w:p w14:paraId="30213F85" w14:textId="77777777" w:rsidR="00F0412E" w:rsidRPr="00346C14" w:rsidRDefault="00F0412E" w:rsidP="00F0412E">
                      <w:pPr>
                        <w:pStyle w:val="textbox"/>
                        <w:shd w:val="clear" w:color="auto" w:fill="E2EFD9"/>
                        <w:spacing w:before="0" w:beforeAutospacing="0" w:after="0" w:afterAutospacing="0"/>
                        <w:rPr>
                          <w:rFonts w:ascii="Arial" w:hAnsi="Arial" w:cs="Arial"/>
                          <w:sz w:val="22"/>
                          <w:szCs w:val="22"/>
                        </w:rPr>
                      </w:pPr>
                      <w:r w:rsidRPr="00346C14">
                        <w:rPr>
                          <w:rFonts w:ascii="Arial" w:hAnsi="Arial" w:cs="Arial"/>
                          <w:b/>
                          <w:sz w:val="22"/>
                          <w:szCs w:val="22"/>
                        </w:rPr>
                        <w:t>Data Processors –</w:t>
                      </w:r>
                      <w:r>
                        <w:rPr>
                          <w:rFonts w:ascii="Arial" w:hAnsi="Arial" w:cs="Arial"/>
                          <w:sz w:val="22"/>
                          <w:szCs w:val="22"/>
                          <w:shd w:val="clear" w:color="auto" w:fill="E2EFD9"/>
                        </w:rPr>
                        <w:t xml:space="preserve"> this is applicable anyone involved in the recruitment process such as </w:t>
                      </w:r>
                      <w:r w:rsidRPr="00346C14">
                        <w:rPr>
                          <w:rFonts w:ascii="Arial" w:hAnsi="Arial" w:cs="Arial"/>
                          <w:sz w:val="22"/>
                          <w:szCs w:val="22"/>
                        </w:rPr>
                        <w:t>RAs, HMs</w:t>
                      </w:r>
                      <w:r>
                        <w:rPr>
                          <w:rFonts w:ascii="Arial" w:hAnsi="Arial" w:cs="Arial"/>
                          <w:sz w:val="22"/>
                          <w:szCs w:val="22"/>
                        </w:rPr>
                        <w:t>, HCs</w:t>
                      </w:r>
                      <w:r w:rsidRPr="00346C14">
                        <w:rPr>
                          <w:rFonts w:ascii="Arial" w:hAnsi="Arial" w:cs="Arial"/>
                          <w:sz w:val="22"/>
                          <w:szCs w:val="22"/>
                        </w:rPr>
                        <w:t xml:space="preserve"> and HPs since they are responsible for processing personal applicant data on behalf of the Data Controller. They have a legal obligation to comply with the </w:t>
                      </w:r>
                      <w:r>
                        <w:rPr>
                          <w:rFonts w:ascii="Arial" w:hAnsi="Arial" w:cs="Arial"/>
                          <w:sz w:val="22"/>
                          <w:szCs w:val="22"/>
                        </w:rPr>
                        <w:t xml:space="preserve">GDPR. </w:t>
                      </w:r>
                    </w:p>
                  </w:txbxContent>
                </v:textbox>
                <w10:wrap type="square" anchorx="margin"/>
              </v:shape>
            </w:pict>
          </mc:Fallback>
        </mc:AlternateContent>
      </w:r>
      <w:r w:rsidR="00F0412E" w:rsidRPr="000D2244">
        <w:rPr>
          <w:rFonts w:cs="Arial"/>
          <w:b/>
          <w:noProof/>
          <w:color w:val="002060"/>
        </w:rPr>
        <w:drawing>
          <wp:inline distT="0" distB="0" distL="0" distR="0" wp14:anchorId="27B36CE5" wp14:editId="039C0F1C">
            <wp:extent cx="6027420" cy="4411980"/>
            <wp:effectExtent l="0" t="38100" r="49530" b="0"/>
            <wp:docPr id="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A89EFAF" w14:textId="6E71858A" w:rsidR="00F0412E" w:rsidRPr="009758A4" w:rsidRDefault="00F0412E" w:rsidP="00F0412E">
      <w:pPr>
        <w:rPr>
          <w:rFonts w:ascii="Arial" w:hAnsi="Arial" w:cs="Arial"/>
          <w:b/>
          <w:color w:val="002060"/>
          <w:sz w:val="24"/>
          <w:szCs w:val="24"/>
        </w:rPr>
      </w:pPr>
      <w:r>
        <w:rPr>
          <w:rFonts w:cs="Arial"/>
          <w:b/>
          <w:color w:val="002060"/>
        </w:rPr>
        <w:br w:type="page"/>
      </w:r>
      <w:r w:rsidRPr="009758A4">
        <w:rPr>
          <w:rFonts w:ascii="Arial" w:hAnsi="Arial" w:cs="Arial"/>
          <w:b/>
          <w:color w:val="000000" w:themeColor="text1"/>
          <w:sz w:val="24"/>
          <w:szCs w:val="24"/>
        </w:rPr>
        <w:lastRenderedPageBreak/>
        <w:t xml:space="preserve">How to be GDPR </w:t>
      </w:r>
      <w:r w:rsidR="009758A4">
        <w:rPr>
          <w:rFonts w:ascii="Arial" w:hAnsi="Arial" w:cs="Arial"/>
          <w:b/>
          <w:color w:val="000000" w:themeColor="text1"/>
          <w:sz w:val="24"/>
          <w:szCs w:val="24"/>
        </w:rPr>
        <w:t>c</w:t>
      </w:r>
      <w:r w:rsidRPr="009758A4">
        <w:rPr>
          <w:rFonts w:ascii="Arial" w:hAnsi="Arial" w:cs="Arial"/>
          <w:b/>
          <w:color w:val="000000" w:themeColor="text1"/>
          <w:sz w:val="24"/>
          <w:szCs w:val="24"/>
        </w:rPr>
        <w:t xml:space="preserve">ompliant when </w:t>
      </w:r>
      <w:r w:rsidR="009758A4">
        <w:rPr>
          <w:rFonts w:ascii="Arial" w:hAnsi="Arial" w:cs="Arial"/>
          <w:b/>
          <w:color w:val="000000" w:themeColor="text1"/>
          <w:sz w:val="24"/>
          <w:szCs w:val="24"/>
        </w:rPr>
        <w:t>r</w:t>
      </w:r>
      <w:r w:rsidRPr="009758A4">
        <w:rPr>
          <w:rFonts w:ascii="Arial" w:hAnsi="Arial" w:cs="Arial"/>
          <w:b/>
          <w:color w:val="000000" w:themeColor="text1"/>
          <w:sz w:val="24"/>
          <w:szCs w:val="24"/>
        </w:rPr>
        <w:t>ecruiting</w:t>
      </w:r>
    </w:p>
    <w:p w14:paraId="08BCC526" w14:textId="0001AA7C" w:rsidR="00F0412E" w:rsidRDefault="00F0412E" w:rsidP="00F0412E">
      <w:pPr>
        <w:spacing w:after="0" w:line="240" w:lineRule="auto"/>
        <w:ind w:right="-613"/>
        <w:contextualSpacing/>
        <w:jc w:val="both"/>
        <w:rPr>
          <w:rFonts w:ascii="Arial" w:hAnsi="Arial" w:cs="Arial"/>
          <w:b/>
          <w:sz w:val="24"/>
          <w:szCs w:val="24"/>
        </w:rPr>
      </w:pPr>
      <w:r w:rsidRPr="009758A4">
        <w:rPr>
          <w:rFonts w:ascii="Arial" w:hAnsi="Arial" w:cs="Arial"/>
          <w:b/>
          <w:sz w:val="24"/>
          <w:szCs w:val="24"/>
        </w:rPr>
        <w:t xml:space="preserve">These guidelines are applicable when: </w:t>
      </w:r>
    </w:p>
    <w:p w14:paraId="5AF60281" w14:textId="77777777" w:rsidR="00322163" w:rsidRPr="009758A4" w:rsidRDefault="00322163" w:rsidP="00F0412E">
      <w:pPr>
        <w:spacing w:after="0" w:line="240" w:lineRule="auto"/>
        <w:ind w:right="-613"/>
        <w:contextualSpacing/>
        <w:jc w:val="both"/>
        <w:rPr>
          <w:rFonts w:ascii="Arial" w:hAnsi="Arial" w:cs="Arial"/>
          <w:b/>
          <w:sz w:val="24"/>
          <w:szCs w:val="24"/>
        </w:rPr>
      </w:pPr>
    </w:p>
    <w:p w14:paraId="4CE3FB9A" w14:textId="0E972205" w:rsidR="00F0412E" w:rsidRPr="009758A4" w:rsidRDefault="00F0412E" w:rsidP="00F0412E">
      <w:pPr>
        <w:pStyle w:val="ListParagraph"/>
        <w:numPr>
          <w:ilvl w:val="0"/>
          <w:numId w:val="25"/>
        </w:numPr>
        <w:spacing w:after="0" w:line="240" w:lineRule="auto"/>
        <w:ind w:right="-613" w:hanging="720"/>
        <w:jc w:val="both"/>
        <w:rPr>
          <w:rFonts w:ascii="Arial" w:hAnsi="Arial" w:cs="Arial"/>
          <w:sz w:val="24"/>
          <w:szCs w:val="24"/>
        </w:rPr>
      </w:pPr>
      <w:r w:rsidRPr="009758A4">
        <w:rPr>
          <w:rFonts w:ascii="Arial" w:hAnsi="Arial" w:cs="Arial"/>
          <w:sz w:val="24"/>
          <w:szCs w:val="24"/>
        </w:rPr>
        <w:t>Applications are received outside of the College’s Applicant Tracking System (ATS), TalentLink - i.e. applicant data received via referrals, agencies or direct sourcing</w:t>
      </w:r>
      <w:r w:rsidR="009758A4">
        <w:rPr>
          <w:rFonts w:ascii="Arial" w:hAnsi="Arial" w:cs="Arial"/>
          <w:sz w:val="24"/>
          <w:szCs w:val="24"/>
        </w:rPr>
        <w:t xml:space="preserve">. </w:t>
      </w:r>
    </w:p>
    <w:p w14:paraId="613810A5" w14:textId="77777777" w:rsidR="00F0412E" w:rsidRPr="009758A4" w:rsidRDefault="00F0412E" w:rsidP="00F0412E">
      <w:pPr>
        <w:pStyle w:val="ListParagraph"/>
        <w:numPr>
          <w:ilvl w:val="0"/>
          <w:numId w:val="25"/>
        </w:numPr>
        <w:spacing w:after="0" w:line="240" w:lineRule="auto"/>
        <w:ind w:right="-613" w:hanging="720"/>
        <w:jc w:val="both"/>
        <w:rPr>
          <w:rFonts w:ascii="Arial" w:hAnsi="Arial" w:cs="Arial"/>
          <w:sz w:val="24"/>
          <w:szCs w:val="24"/>
        </w:rPr>
      </w:pPr>
      <w:r w:rsidRPr="009758A4">
        <w:rPr>
          <w:rFonts w:ascii="Arial" w:hAnsi="Arial" w:cs="Arial"/>
          <w:sz w:val="24"/>
          <w:szCs w:val="24"/>
        </w:rPr>
        <w:t>Shortlisting</w:t>
      </w:r>
    </w:p>
    <w:p w14:paraId="3EE371A4" w14:textId="77777777" w:rsidR="00F0412E" w:rsidRPr="009758A4" w:rsidRDefault="00F0412E" w:rsidP="00F0412E">
      <w:pPr>
        <w:pStyle w:val="ListParagraph"/>
        <w:numPr>
          <w:ilvl w:val="0"/>
          <w:numId w:val="25"/>
        </w:numPr>
        <w:spacing w:after="0" w:line="240" w:lineRule="auto"/>
        <w:ind w:right="-613" w:hanging="720"/>
        <w:jc w:val="both"/>
        <w:rPr>
          <w:rFonts w:ascii="Arial" w:hAnsi="Arial" w:cs="Arial"/>
          <w:sz w:val="24"/>
          <w:szCs w:val="24"/>
        </w:rPr>
      </w:pPr>
      <w:r w:rsidRPr="009758A4">
        <w:rPr>
          <w:rFonts w:ascii="Arial" w:hAnsi="Arial" w:cs="Arial"/>
          <w:sz w:val="24"/>
          <w:szCs w:val="24"/>
        </w:rPr>
        <w:t>Interviewing</w:t>
      </w:r>
    </w:p>
    <w:p w14:paraId="368B8967" w14:textId="77777777" w:rsidR="00F0412E" w:rsidRPr="009758A4" w:rsidRDefault="00F0412E" w:rsidP="00F0412E">
      <w:pPr>
        <w:pStyle w:val="ListParagraph"/>
        <w:numPr>
          <w:ilvl w:val="0"/>
          <w:numId w:val="25"/>
        </w:numPr>
        <w:spacing w:after="0" w:line="240" w:lineRule="auto"/>
        <w:ind w:right="-613" w:hanging="720"/>
        <w:jc w:val="both"/>
        <w:rPr>
          <w:rFonts w:ascii="Arial" w:hAnsi="Arial" w:cs="Arial"/>
          <w:sz w:val="24"/>
          <w:szCs w:val="24"/>
        </w:rPr>
      </w:pPr>
      <w:r w:rsidRPr="009758A4">
        <w:rPr>
          <w:rFonts w:ascii="Arial" w:hAnsi="Arial" w:cs="Arial"/>
          <w:sz w:val="24"/>
          <w:szCs w:val="24"/>
        </w:rPr>
        <w:t xml:space="preserve">Referencing </w:t>
      </w:r>
    </w:p>
    <w:p w14:paraId="222312AE" w14:textId="77777777" w:rsidR="00F0412E" w:rsidRPr="009758A4" w:rsidRDefault="00F0412E" w:rsidP="00F0412E">
      <w:pPr>
        <w:pStyle w:val="ListParagraph"/>
        <w:numPr>
          <w:ilvl w:val="0"/>
          <w:numId w:val="25"/>
        </w:numPr>
        <w:spacing w:after="0" w:line="240" w:lineRule="auto"/>
        <w:ind w:right="-613" w:hanging="720"/>
        <w:jc w:val="both"/>
        <w:rPr>
          <w:rFonts w:ascii="Arial" w:hAnsi="Arial" w:cs="Arial"/>
          <w:sz w:val="24"/>
          <w:szCs w:val="24"/>
        </w:rPr>
      </w:pPr>
      <w:r w:rsidRPr="009758A4">
        <w:rPr>
          <w:rFonts w:ascii="Arial" w:hAnsi="Arial" w:cs="Arial"/>
          <w:sz w:val="24"/>
          <w:szCs w:val="24"/>
        </w:rPr>
        <w:t>On-boarding</w:t>
      </w:r>
    </w:p>
    <w:p w14:paraId="36906405" w14:textId="77777777" w:rsidR="00F0412E" w:rsidRPr="000D2244" w:rsidRDefault="00F0412E" w:rsidP="00F0412E">
      <w:pPr>
        <w:pStyle w:val="ListParagraph"/>
        <w:spacing w:after="0" w:line="240" w:lineRule="auto"/>
        <w:ind w:right="-613" w:hanging="720"/>
        <w:jc w:val="both"/>
        <w:rPr>
          <w:rFonts w:cs="Arial"/>
        </w:rPr>
      </w:pPr>
    </w:p>
    <w:p w14:paraId="5C59E03E" w14:textId="6AABD4BD" w:rsidR="00F0412E" w:rsidRDefault="00322163" w:rsidP="00F0412E">
      <w:pPr>
        <w:pStyle w:val="ListParagraph"/>
        <w:numPr>
          <w:ilvl w:val="0"/>
          <w:numId w:val="24"/>
        </w:numPr>
        <w:spacing w:after="0" w:line="240" w:lineRule="auto"/>
        <w:ind w:left="709" w:right="-613" w:hanging="709"/>
        <w:contextualSpacing w:val="0"/>
        <w:jc w:val="both"/>
        <w:rPr>
          <w:rFonts w:ascii="Arial" w:hAnsi="Arial" w:cs="Arial"/>
        </w:rPr>
      </w:pPr>
      <w:r>
        <w:rPr>
          <w:rFonts w:ascii="Arial" w:hAnsi="Arial" w:cs="Arial"/>
        </w:rPr>
        <w:t>Send all</w:t>
      </w:r>
      <w:r w:rsidR="00F0412E" w:rsidRPr="00322163">
        <w:rPr>
          <w:rFonts w:ascii="Arial" w:hAnsi="Arial" w:cs="Arial"/>
        </w:rPr>
        <w:t xml:space="preserve"> applicant/candidate data</w:t>
      </w:r>
      <w:r>
        <w:rPr>
          <w:rFonts w:ascii="Arial" w:hAnsi="Arial" w:cs="Arial"/>
        </w:rPr>
        <w:t xml:space="preserve"> you</w:t>
      </w:r>
      <w:r w:rsidR="00F0412E" w:rsidRPr="00322163">
        <w:rPr>
          <w:rFonts w:ascii="Arial" w:hAnsi="Arial" w:cs="Arial"/>
        </w:rPr>
        <w:t xml:space="preserve"> receive </w:t>
      </w:r>
      <w:r>
        <w:rPr>
          <w:rFonts w:ascii="Arial" w:hAnsi="Arial" w:cs="Arial"/>
        </w:rPr>
        <w:t xml:space="preserve">directly </w:t>
      </w:r>
      <w:r w:rsidR="00F0412E" w:rsidRPr="00322163">
        <w:rPr>
          <w:rFonts w:ascii="Arial" w:hAnsi="Arial" w:cs="Arial"/>
        </w:rPr>
        <w:t xml:space="preserve">to the </w:t>
      </w:r>
      <w:r>
        <w:rPr>
          <w:rFonts w:ascii="Arial" w:hAnsi="Arial" w:cs="Arial"/>
        </w:rPr>
        <w:t xml:space="preserve">Recruitment Hub </w:t>
      </w:r>
      <w:r w:rsidRPr="00322163">
        <w:rPr>
          <w:rFonts w:ascii="Arial" w:hAnsi="Arial" w:cs="Arial"/>
        </w:rPr>
        <w:t xml:space="preserve">so they can process the candidate’s </w:t>
      </w:r>
      <w:r>
        <w:rPr>
          <w:rFonts w:ascii="Arial" w:hAnsi="Arial" w:cs="Arial"/>
        </w:rPr>
        <w:t>information</w:t>
      </w:r>
      <w:r w:rsidRPr="00322163">
        <w:rPr>
          <w:rFonts w:ascii="Arial" w:hAnsi="Arial" w:cs="Arial"/>
        </w:rPr>
        <w:t xml:space="preserve"> correctly</w:t>
      </w:r>
    </w:p>
    <w:p w14:paraId="3884606A" w14:textId="6A26B99E" w:rsidR="00AE3A5C" w:rsidRPr="00AE3A5C" w:rsidRDefault="00AE3A5C" w:rsidP="00AE3A5C">
      <w:pPr>
        <w:pStyle w:val="ListParagraph"/>
        <w:numPr>
          <w:ilvl w:val="0"/>
          <w:numId w:val="24"/>
        </w:numPr>
        <w:spacing w:after="0" w:line="240" w:lineRule="auto"/>
        <w:ind w:left="709" w:right="-613" w:hanging="709"/>
        <w:contextualSpacing w:val="0"/>
        <w:jc w:val="both"/>
        <w:rPr>
          <w:rFonts w:ascii="Arial" w:hAnsi="Arial" w:cs="Arial"/>
        </w:rPr>
      </w:pPr>
      <w:r w:rsidRPr="00322163">
        <w:rPr>
          <w:rFonts w:ascii="Arial" w:hAnsi="Arial" w:cs="Arial"/>
        </w:rPr>
        <w:t xml:space="preserve">If </w:t>
      </w:r>
      <w:r>
        <w:rPr>
          <w:rFonts w:ascii="Arial" w:hAnsi="Arial" w:cs="Arial"/>
        </w:rPr>
        <w:t xml:space="preserve">you would like to </w:t>
      </w:r>
      <w:r w:rsidRPr="00322163">
        <w:rPr>
          <w:rFonts w:ascii="Arial" w:hAnsi="Arial" w:cs="Arial"/>
        </w:rPr>
        <w:t>consider an applicant/candidate for an alternative requisition,</w:t>
      </w:r>
      <w:r w:rsidRPr="00322163">
        <w:rPr>
          <w:rFonts w:ascii="Arial" w:hAnsi="Arial" w:cs="Arial"/>
          <w:b/>
        </w:rPr>
        <w:t xml:space="preserve"> always</w:t>
      </w:r>
      <w:r>
        <w:rPr>
          <w:rFonts w:ascii="Arial" w:hAnsi="Arial" w:cs="Arial"/>
          <w:b/>
        </w:rPr>
        <w:t xml:space="preserve"> </w:t>
      </w:r>
      <w:r w:rsidRPr="00322163">
        <w:rPr>
          <w:rFonts w:ascii="Arial" w:hAnsi="Arial" w:cs="Arial"/>
          <w:bCs/>
        </w:rPr>
        <w:t>check with the Recruitment Hub</w:t>
      </w:r>
      <w:r>
        <w:rPr>
          <w:rFonts w:ascii="Arial" w:hAnsi="Arial" w:cs="Arial"/>
          <w:bCs/>
        </w:rPr>
        <w:t xml:space="preserve"> first</w:t>
      </w:r>
      <w:r w:rsidRPr="00322163">
        <w:rPr>
          <w:rFonts w:ascii="Arial" w:hAnsi="Arial" w:cs="Arial"/>
          <w:bCs/>
        </w:rPr>
        <w:t>.</w:t>
      </w:r>
      <w:r>
        <w:rPr>
          <w:rFonts w:ascii="Arial" w:hAnsi="Arial" w:cs="Arial"/>
          <w:b/>
        </w:rPr>
        <w:t xml:space="preserve"> </w:t>
      </w:r>
      <w:r w:rsidRPr="00322163">
        <w:rPr>
          <w:rFonts w:ascii="Arial" w:hAnsi="Arial" w:cs="Arial"/>
          <w:bCs/>
        </w:rPr>
        <w:t>They will</w:t>
      </w:r>
      <w:r>
        <w:rPr>
          <w:rFonts w:ascii="Arial" w:hAnsi="Arial" w:cs="Arial"/>
          <w:b/>
        </w:rPr>
        <w:t xml:space="preserve"> </w:t>
      </w:r>
      <w:r w:rsidRPr="00322163">
        <w:rPr>
          <w:rFonts w:ascii="Arial" w:hAnsi="Arial" w:cs="Arial"/>
        </w:rPr>
        <w:t>ensure</w:t>
      </w:r>
      <w:r>
        <w:rPr>
          <w:rFonts w:ascii="Arial" w:hAnsi="Arial" w:cs="Arial"/>
        </w:rPr>
        <w:t xml:space="preserve"> the necessary</w:t>
      </w:r>
      <w:r w:rsidRPr="00322163">
        <w:rPr>
          <w:rFonts w:ascii="Arial" w:hAnsi="Arial" w:cs="Arial"/>
        </w:rPr>
        <w:t xml:space="preserve"> consent has been obtained</w:t>
      </w:r>
      <w:r>
        <w:rPr>
          <w:rFonts w:ascii="Arial" w:hAnsi="Arial" w:cs="Arial"/>
        </w:rPr>
        <w:t xml:space="preserve"> </w:t>
      </w:r>
    </w:p>
    <w:p w14:paraId="7EFC8ED9" w14:textId="20EB7C17" w:rsidR="00F0412E" w:rsidRDefault="00322163" w:rsidP="00F0412E">
      <w:pPr>
        <w:pStyle w:val="ListParagraph"/>
        <w:numPr>
          <w:ilvl w:val="0"/>
          <w:numId w:val="24"/>
        </w:numPr>
        <w:spacing w:after="0" w:line="240" w:lineRule="auto"/>
        <w:ind w:left="709" w:right="-613" w:hanging="709"/>
        <w:contextualSpacing w:val="0"/>
        <w:jc w:val="both"/>
        <w:rPr>
          <w:rFonts w:ascii="Arial" w:hAnsi="Arial" w:cs="Arial"/>
        </w:rPr>
      </w:pPr>
      <w:r>
        <w:rPr>
          <w:rFonts w:ascii="Arial" w:hAnsi="Arial" w:cs="Arial"/>
        </w:rPr>
        <w:t xml:space="preserve">Use the </w:t>
      </w:r>
      <w:r w:rsidR="00AE3A5C">
        <w:rPr>
          <w:rFonts w:ascii="Arial" w:hAnsi="Arial" w:cs="Arial"/>
        </w:rPr>
        <w:t xml:space="preserve">shortlisting </w:t>
      </w:r>
      <w:r>
        <w:rPr>
          <w:rFonts w:ascii="Arial" w:hAnsi="Arial" w:cs="Arial"/>
        </w:rPr>
        <w:t>guidance</w:t>
      </w:r>
      <w:r w:rsidR="00E81375">
        <w:rPr>
          <w:rFonts w:ascii="Arial" w:hAnsi="Arial" w:cs="Arial"/>
        </w:rPr>
        <w:t xml:space="preserve"> (supplied by the Recruitment Hub)</w:t>
      </w:r>
      <w:r w:rsidR="00AE3A5C">
        <w:rPr>
          <w:rFonts w:ascii="Arial" w:hAnsi="Arial" w:cs="Arial"/>
        </w:rPr>
        <w:t xml:space="preserve"> </w:t>
      </w:r>
      <w:r>
        <w:rPr>
          <w:rFonts w:ascii="Arial" w:hAnsi="Arial" w:cs="Arial"/>
        </w:rPr>
        <w:t>to l</w:t>
      </w:r>
      <w:r w:rsidR="00F0412E" w:rsidRPr="00322163">
        <w:rPr>
          <w:rFonts w:ascii="Arial" w:hAnsi="Arial" w:cs="Arial"/>
        </w:rPr>
        <w:t>ogin into the College’s ATS</w:t>
      </w:r>
      <w:r w:rsidR="00E70BD7">
        <w:rPr>
          <w:rFonts w:ascii="Arial" w:hAnsi="Arial" w:cs="Arial"/>
        </w:rPr>
        <w:t xml:space="preserve"> (Talentlink)</w:t>
      </w:r>
      <w:r w:rsidR="00F0412E" w:rsidRPr="00322163">
        <w:rPr>
          <w:rFonts w:ascii="Arial" w:hAnsi="Arial" w:cs="Arial"/>
        </w:rPr>
        <w:t xml:space="preserve"> </w:t>
      </w:r>
      <w:r>
        <w:rPr>
          <w:rFonts w:ascii="Arial" w:hAnsi="Arial" w:cs="Arial"/>
        </w:rPr>
        <w:t>and</w:t>
      </w:r>
      <w:r w:rsidR="00F0412E" w:rsidRPr="00322163">
        <w:rPr>
          <w:rFonts w:ascii="Arial" w:hAnsi="Arial" w:cs="Arial"/>
        </w:rPr>
        <w:t xml:space="preserve"> view all applicant/candidate data (i.e. CV, </w:t>
      </w:r>
      <w:r>
        <w:rPr>
          <w:rFonts w:ascii="Arial" w:hAnsi="Arial" w:cs="Arial"/>
        </w:rPr>
        <w:t>supporting statement</w:t>
      </w:r>
      <w:r w:rsidR="00F0412E" w:rsidRPr="00322163">
        <w:rPr>
          <w:rFonts w:ascii="Arial" w:hAnsi="Arial" w:cs="Arial"/>
        </w:rPr>
        <w:t>, research papers etc.).</w:t>
      </w:r>
      <w:r w:rsidR="00E70BD7">
        <w:rPr>
          <w:rFonts w:ascii="Arial" w:hAnsi="Arial" w:cs="Arial"/>
        </w:rPr>
        <w:t xml:space="preserve"> This process is compliant since:</w:t>
      </w:r>
    </w:p>
    <w:p w14:paraId="61562EE5" w14:textId="2714CCCB" w:rsidR="00E70BD7" w:rsidRDefault="00E70BD7" w:rsidP="00E70BD7">
      <w:pPr>
        <w:pStyle w:val="ListParagraph"/>
        <w:numPr>
          <w:ilvl w:val="2"/>
          <w:numId w:val="26"/>
        </w:numPr>
        <w:spacing w:after="0" w:line="240" w:lineRule="auto"/>
        <w:ind w:right="-613"/>
        <w:contextualSpacing w:val="0"/>
        <w:jc w:val="both"/>
        <w:rPr>
          <w:rFonts w:ascii="Arial" w:hAnsi="Arial" w:cs="Arial"/>
        </w:rPr>
      </w:pPr>
      <w:r>
        <w:rPr>
          <w:rFonts w:ascii="Arial" w:hAnsi="Arial" w:cs="Arial"/>
        </w:rPr>
        <w:t xml:space="preserve">It keeps all applicant/candidate information </w:t>
      </w:r>
      <w:r w:rsidR="00624FF9">
        <w:rPr>
          <w:rFonts w:ascii="Arial" w:hAnsi="Arial" w:cs="Arial"/>
        </w:rPr>
        <w:t>on the ATS</w:t>
      </w:r>
    </w:p>
    <w:p w14:paraId="683F6A7A" w14:textId="7C488803" w:rsidR="008A2A6F" w:rsidRPr="008A2A6F" w:rsidRDefault="008A2A6F" w:rsidP="008A2A6F">
      <w:pPr>
        <w:pStyle w:val="ListParagraph"/>
        <w:numPr>
          <w:ilvl w:val="2"/>
          <w:numId w:val="26"/>
        </w:numPr>
        <w:spacing w:after="0" w:line="240" w:lineRule="auto"/>
        <w:ind w:right="-613"/>
        <w:contextualSpacing w:val="0"/>
        <w:jc w:val="both"/>
        <w:rPr>
          <w:rFonts w:ascii="Arial" w:hAnsi="Arial" w:cs="Arial"/>
        </w:rPr>
      </w:pPr>
      <w:r w:rsidRPr="008A2A6F">
        <w:rPr>
          <w:rFonts w:ascii="Arial" w:hAnsi="Arial" w:cs="Arial"/>
        </w:rPr>
        <w:t xml:space="preserve">It removes the risk/effort of having to archive all </w:t>
      </w:r>
      <w:r>
        <w:rPr>
          <w:rFonts w:ascii="Arial" w:hAnsi="Arial" w:cs="Arial"/>
        </w:rPr>
        <w:t xml:space="preserve">applicant/candidate </w:t>
      </w:r>
      <w:r w:rsidRPr="008A2A6F">
        <w:rPr>
          <w:rFonts w:ascii="Arial" w:hAnsi="Arial" w:cs="Arial"/>
        </w:rPr>
        <w:t xml:space="preserve">data in line with our </w:t>
      </w:r>
      <w:hyperlink r:id="rId16" w:history="1">
        <w:r w:rsidRPr="008A2A6F">
          <w:rPr>
            <w:rStyle w:val="Hyperlink"/>
            <w:rFonts w:ascii="Arial" w:hAnsi="Arial" w:cs="Arial"/>
          </w:rPr>
          <w:t>data privacy policy</w:t>
        </w:r>
      </w:hyperlink>
      <w:r w:rsidRPr="008A2A6F">
        <w:rPr>
          <w:rFonts w:ascii="Arial" w:hAnsi="Arial" w:cs="Arial"/>
        </w:rPr>
        <w:t xml:space="preserve">. </w:t>
      </w:r>
      <w:r>
        <w:rPr>
          <w:rFonts w:ascii="Arial" w:hAnsi="Arial" w:cs="Arial"/>
        </w:rPr>
        <w:t>All candidate information on the ATS is automatically assigned a 1-year data storage period</w:t>
      </w:r>
      <w:r w:rsidR="00AE3A5C">
        <w:rPr>
          <w:rFonts w:ascii="Arial" w:hAnsi="Arial" w:cs="Arial"/>
        </w:rPr>
        <w:t xml:space="preserve"> (from the date the application was last processed)</w:t>
      </w:r>
    </w:p>
    <w:p w14:paraId="35BEA183" w14:textId="4F590318" w:rsidR="008A2A6F" w:rsidRPr="00322163" w:rsidRDefault="008A2A6F" w:rsidP="00E70BD7">
      <w:pPr>
        <w:pStyle w:val="ListParagraph"/>
        <w:numPr>
          <w:ilvl w:val="2"/>
          <w:numId w:val="26"/>
        </w:numPr>
        <w:spacing w:after="0" w:line="240" w:lineRule="auto"/>
        <w:ind w:right="-613"/>
        <w:contextualSpacing w:val="0"/>
        <w:jc w:val="both"/>
        <w:rPr>
          <w:rFonts w:ascii="Arial" w:hAnsi="Arial" w:cs="Arial"/>
        </w:rPr>
      </w:pPr>
      <w:r w:rsidRPr="00E70BD7">
        <w:rPr>
          <w:rFonts w:ascii="Arial" w:hAnsi="Arial" w:cs="Arial"/>
        </w:rPr>
        <w:t xml:space="preserve">It removes the risk/effort of </w:t>
      </w:r>
      <w:r w:rsidR="00624FF9">
        <w:rPr>
          <w:rFonts w:ascii="Arial" w:hAnsi="Arial" w:cs="Arial"/>
        </w:rPr>
        <w:t xml:space="preserve">tracking where the </w:t>
      </w:r>
      <w:r w:rsidRPr="00E70BD7">
        <w:rPr>
          <w:rFonts w:ascii="Arial" w:hAnsi="Arial" w:cs="Arial"/>
        </w:rPr>
        <w:t>candidate data has been sent</w:t>
      </w:r>
      <w:r>
        <w:rPr>
          <w:rFonts w:ascii="Arial" w:hAnsi="Arial" w:cs="Arial"/>
        </w:rPr>
        <w:t>. This</w:t>
      </w:r>
      <w:r w:rsidRPr="00E70BD7">
        <w:rPr>
          <w:rFonts w:ascii="Arial" w:hAnsi="Arial" w:cs="Arial"/>
        </w:rPr>
        <w:t xml:space="preserve"> means we have control over </w:t>
      </w:r>
      <w:r>
        <w:rPr>
          <w:rFonts w:ascii="Arial" w:hAnsi="Arial" w:cs="Arial"/>
        </w:rPr>
        <w:t xml:space="preserve">where the </w:t>
      </w:r>
      <w:r w:rsidRPr="00E70BD7">
        <w:rPr>
          <w:rFonts w:ascii="Arial" w:hAnsi="Arial" w:cs="Arial"/>
        </w:rPr>
        <w:t xml:space="preserve">data is stored should the candidate raise a </w:t>
      </w:r>
      <w:hyperlink r:id="rId17" w:history="1">
        <w:r w:rsidRPr="008A2A6F">
          <w:rPr>
            <w:rStyle w:val="Hyperlink"/>
            <w:rFonts w:ascii="Arial" w:hAnsi="Arial" w:cs="Arial"/>
          </w:rPr>
          <w:t>subject access request</w:t>
        </w:r>
      </w:hyperlink>
      <w:r>
        <w:rPr>
          <w:rFonts w:ascii="Arial" w:hAnsi="Arial" w:cs="Arial"/>
        </w:rPr>
        <w:t xml:space="preserve"> </w:t>
      </w:r>
      <w:r w:rsidR="00624FF9">
        <w:rPr>
          <w:rFonts w:ascii="Arial" w:hAnsi="Arial" w:cs="Arial"/>
        </w:rPr>
        <w:t>or right to deletion request</w:t>
      </w:r>
    </w:p>
    <w:p w14:paraId="54606510" w14:textId="20474B76" w:rsidR="00F0412E" w:rsidRPr="00322163" w:rsidRDefault="00F0412E" w:rsidP="00F0412E">
      <w:pPr>
        <w:pStyle w:val="ListParagraph"/>
        <w:numPr>
          <w:ilvl w:val="0"/>
          <w:numId w:val="24"/>
        </w:numPr>
        <w:spacing w:after="0" w:line="240" w:lineRule="auto"/>
        <w:ind w:left="709" w:right="-613" w:hanging="709"/>
        <w:contextualSpacing w:val="0"/>
        <w:jc w:val="both"/>
        <w:rPr>
          <w:rFonts w:ascii="Arial" w:hAnsi="Arial" w:cs="Arial"/>
        </w:rPr>
      </w:pPr>
      <w:r w:rsidRPr="00322163">
        <w:rPr>
          <w:rFonts w:ascii="Arial" w:hAnsi="Arial" w:cs="Arial"/>
        </w:rPr>
        <w:t>If applicant/candidate data is downloaded, store it only on secure</w:t>
      </w:r>
      <w:r w:rsidR="00322163">
        <w:rPr>
          <w:rFonts w:ascii="Arial" w:hAnsi="Arial" w:cs="Arial"/>
        </w:rPr>
        <w:t xml:space="preserve"> college</w:t>
      </w:r>
      <w:r w:rsidRPr="00322163">
        <w:rPr>
          <w:rFonts w:ascii="Arial" w:hAnsi="Arial" w:cs="Arial"/>
        </w:rPr>
        <w:t xml:space="preserve"> drives and archive when it is no longer required</w:t>
      </w:r>
      <w:r w:rsidR="001569C8">
        <w:rPr>
          <w:rFonts w:ascii="Arial" w:hAnsi="Arial" w:cs="Arial"/>
        </w:rPr>
        <w:t xml:space="preserve">. </w:t>
      </w:r>
      <w:hyperlink r:id="rId18" w:history="1">
        <w:r w:rsidR="001569C8">
          <w:rPr>
            <w:rStyle w:val="Hyperlink"/>
            <w:rFonts w:ascii="Arial" w:hAnsi="Arial" w:cs="Arial"/>
          </w:rPr>
          <w:t>ICT can recommend where to save personal and sensitive data</w:t>
        </w:r>
      </w:hyperlink>
    </w:p>
    <w:p w14:paraId="7AF349B0" w14:textId="77777777" w:rsidR="00F0412E" w:rsidRPr="00322163" w:rsidRDefault="00F0412E" w:rsidP="00F0412E">
      <w:pPr>
        <w:pStyle w:val="ListParagraph"/>
        <w:numPr>
          <w:ilvl w:val="0"/>
          <w:numId w:val="24"/>
        </w:numPr>
        <w:spacing w:after="0" w:line="240" w:lineRule="auto"/>
        <w:ind w:left="709" w:right="-613" w:hanging="709"/>
        <w:contextualSpacing w:val="0"/>
        <w:jc w:val="both"/>
        <w:rPr>
          <w:rFonts w:ascii="Arial" w:hAnsi="Arial" w:cs="Arial"/>
        </w:rPr>
      </w:pPr>
      <w:r w:rsidRPr="00322163">
        <w:rPr>
          <w:rFonts w:ascii="Arial" w:hAnsi="Arial" w:cs="Arial"/>
        </w:rPr>
        <w:t xml:space="preserve">Only send applicant/candidate data to those recipients who are directly involved in the recruitment </w:t>
      </w:r>
    </w:p>
    <w:p w14:paraId="625ED315" w14:textId="36A196D5" w:rsidR="00F0412E" w:rsidRPr="00322163" w:rsidRDefault="00E70BD7" w:rsidP="00F0412E">
      <w:pPr>
        <w:pStyle w:val="ListParagraph"/>
        <w:numPr>
          <w:ilvl w:val="0"/>
          <w:numId w:val="24"/>
        </w:numPr>
        <w:spacing w:after="0" w:line="240" w:lineRule="auto"/>
        <w:ind w:left="709" w:right="-613" w:hanging="709"/>
        <w:contextualSpacing w:val="0"/>
        <w:jc w:val="both"/>
        <w:rPr>
          <w:rFonts w:ascii="Arial" w:hAnsi="Arial" w:cs="Arial"/>
        </w:rPr>
      </w:pPr>
      <w:r>
        <w:rPr>
          <w:rFonts w:ascii="Arial" w:hAnsi="Arial" w:cs="Arial"/>
        </w:rPr>
        <w:t>If sharing candidate information for shortlisting or interview purposes</w:t>
      </w:r>
      <w:r w:rsidR="00AE3A5C">
        <w:rPr>
          <w:rFonts w:ascii="Arial" w:hAnsi="Arial" w:cs="Arial"/>
        </w:rPr>
        <w:t>, in</w:t>
      </w:r>
      <w:r w:rsidR="00F0412E" w:rsidRPr="00322163">
        <w:rPr>
          <w:rFonts w:ascii="Arial" w:hAnsi="Arial" w:cs="Arial"/>
        </w:rPr>
        <w:t xml:space="preserve">clude wording within your email signature and relevant templates to advise recipients to delete applicant/candidate data once processed (see </w:t>
      </w:r>
      <w:r>
        <w:rPr>
          <w:rFonts w:ascii="Arial" w:hAnsi="Arial" w:cs="Arial"/>
        </w:rPr>
        <w:t>the additional guidance table below</w:t>
      </w:r>
      <w:r w:rsidR="00F0412E" w:rsidRPr="00322163">
        <w:rPr>
          <w:rFonts w:ascii="Arial" w:hAnsi="Arial" w:cs="Arial"/>
        </w:rPr>
        <w:t>) or if data is sent in error</w:t>
      </w:r>
    </w:p>
    <w:p w14:paraId="7EF81E2D" w14:textId="24D8A12A" w:rsidR="001569C8" w:rsidRPr="001569C8" w:rsidRDefault="001569C8" w:rsidP="001569C8">
      <w:pPr>
        <w:pStyle w:val="ListParagraph"/>
        <w:numPr>
          <w:ilvl w:val="0"/>
          <w:numId w:val="24"/>
        </w:numPr>
        <w:spacing w:after="0" w:line="240" w:lineRule="auto"/>
        <w:ind w:left="709" w:right="-613" w:hanging="709"/>
        <w:contextualSpacing w:val="0"/>
        <w:jc w:val="both"/>
        <w:rPr>
          <w:rFonts w:ascii="Arial" w:hAnsi="Arial" w:cs="Arial"/>
        </w:rPr>
      </w:pPr>
      <w:r w:rsidRPr="00322163">
        <w:rPr>
          <w:rFonts w:ascii="Arial" w:hAnsi="Arial" w:cs="Arial"/>
        </w:rPr>
        <w:t>Delete all copies of applicant/candidate data from email chains</w:t>
      </w:r>
      <w:r>
        <w:rPr>
          <w:rFonts w:ascii="Arial" w:hAnsi="Arial" w:cs="Arial"/>
        </w:rPr>
        <w:t xml:space="preserve"> when no longer required </w:t>
      </w:r>
    </w:p>
    <w:p w14:paraId="6AD4A711" w14:textId="3C3BD8FD" w:rsidR="00F0412E" w:rsidRPr="00322163" w:rsidRDefault="001569C8" w:rsidP="00F0412E">
      <w:pPr>
        <w:pStyle w:val="ListParagraph"/>
        <w:numPr>
          <w:ilvl w:val="0"/>
          <w:numId w:val="24"/>
        </w:numPr>
        <w:spacing w:after="0" w:line="240" w:lineRule="auto"/>
        <w:ind w:left="709" w:right="-613" w:hanging="709"/>
        <w:contextualSpacing w:val="0"/>
        <w:jc w:val="both"/>
        <w:rPr>
          <w:rFonts w:ascii="Arial" w:hAnsi="Arial" w:cs="Arial"/>
        </w:rPr>
      </w:pPr>
      <w:r>
        <w:rPr>
          <w:rFonts w:ascii="Arial" w:hAnsi="Arial" w:cs="Arial"/>
        </w:rPr>
        <w:t xml:space="preserve">Regularly </w:t>
      </w:r>
      <w:r w:rsidR="00F0412E" w:rsidRPr="00322163">
        <w:rPr>
          <w:rFonts w:ascii="Arial" w:hAnsi="Arial" w:cs="Arial"/>
        </w:rPr>
        <w:t xml:space="preserve">cleanse all files which may contain </w:t>
      </w:r>
      <w:r w:rsidR="00E70BD7" w:rsidRPr="00322163">
        <w:rPr>
          <w:rFonts w:ascii="Arial" w:hAnsi="Arial" w:cs="Arial"/>
        </w:rPr>
        <w:t>expired applicant</w:t>
      </w:r>
      <w:r w:rsidR="00F0412E" w:rsidRPr="00322163">
        <w:rPr>
          <w:rFonts w:ascii="Arial" w:hAnsi="Arial" w:cs="Arial"/>
        </w:rPr>
        <w:t>/ candidate data</w:t>
      </w:r>
    </w:p>
    <w:p w14:paraId="7B1A1A3A" w14:textId="3D075A01" w:rsidR="00F0412E" w:rsidRPr="00322163" w:rsidRDefault="00F0412E" w:rsidP="00F0412E">
      <w:pPr>
        <w:pStyle w:val="ListParagraph"/>
        <w:numPr>
          <w:ilvl w:val="0"/>
          <w:numId w:val="24"/>
        </w:numPr>
        <w:spacing w:after="0" w:line="240" w:lineRule="auto"/>
        <w:ind w:left="709" w:right="-613" w:hanging="709"/>
        <w:contextualSpacing w:val="0"/>
        <w:jc w:val="both"/>
        <w:rPr>
          <w:rFonts w:ascii="Arial" w:hAnsi="Arial" w:cs="Arial"/>
        </w:rPr>
      </w:pPr>
      <w:r w:rsidRPr="00322163">
        <w:rPr>
          <w:rFonts w:ascii="Arial" w:hAnsi="Arial" w:cs="Arial"/>
          <w:color w:val="000000"/>
        </w:rPr>
        <w:t>Dispose of all hard copy applicant/candidate data in confidential waste when no longer re</w:t>
      </w:r>
      <w:r w:rsidR="001569C8">
        <w:rPr>
          <w:rFonts w:ascii="Arial" w:hAnsi="Arial" w:cs="Arial"/>
          <w:color w:val="000000"/>
        </w:rPr>
        <w:t>quired</w:t>
      </w:r>
    </w:p>
    <w:p w14:paraId="336D285E" w14:textId="77777777" w:rsidR="00F0412E" w:rsidRDefault="00F0412E" w:rsidP="00F0412E">
      <w:pPr>
        <w:spacing w:after="0" w:line="240" w:lineRule="auto"/>
        <w:jc w:val="center"/>
        <w:rPr>
          <w:rFonts w:cs="Arial"/>
          <w:b/>
          <w:color w:val="002060"/>
        </w:rPr>
      </w:pPr>
    </w:p>
    <w:p w14:paraId="7DB27D61" w14:textId="62E0B967" w:rsidR="00F0412E" w:rsidRPr="000D2244" w:rsidRDefault="00F0412E" w:rsidP="00F0412E">
      <w:pPr>
        <w:spacing w:after="0" w:line="240" w:lineRule="auto"/>
        <w:jc w:val="center"/>
        <w:rPr>
          <w:rFonts w:cs="Arial"/>
          <w:b/>
          <w:color w:val="002060"/>
        </w:rPr>
      </w:pPr>
      <w:r w:rsidRPr="000D2244">
        <w:rPr>
          <w:rFonts w:cs="Arial"/>
          <w:b/>
          <w:color w:val="002060"/>
        </w:rPr>
        <w:t xml:space="preserve">Additional </w:t>
      </w:r>
      <w:r w:rsidR="00E70BD7">
        <w:rPr>
          <w:rFonts w:cs="Arial"/>
          <w:b/>
          <w:color w:val="002060"/>
        </w:rPr>
        <w:t>g</w:t>
      </w:r>
      <w:r w:rsidRPr="000D2244">
        <w:rPr>
          <w:rFonts w:cs="Arial"/>
          <w:b/>
          <w:color w:val="002060"/>
        </w:rPr>
        <w:t>uidance</w:t>
      </w:r>
    </w:p>
    <w:tbl>
      <w:tblPr>
        <w:tblStyle w:val="TableGrid"/>
        <w:tblW w:w="9776" w:type="dxa"/>
        <w:tblLook w:val="04A0" w:firstRow="1" w:lastRow="0" w:firstColumn="1" w:lastColumn="0" w:noHBand="0" w:noVBand="1"/>
      </w:tblPr>
      <w:tblGrid>
        <w:gridCol w:w="3115"/>
        <w:gridCol w:w="6661"/>
      </w:tblGrid>
      <w:tr w:rsidR="00F0412E" w:rsidRPr="000D2244" w14:paraId="676A89E1" w14:textId="77777777" w:rsidTr="00C81E6C">
        <w:tc>
          <w:tcPr>
            <w:tcW w:w="3115" w:type="dxa"/>
          </w:tcPr>
          <w:p w14:paraId="4380ED45" w14:textId="77777777" w:rsidR="00F0412E" w:rsidRPr="000D2244" w:rsidRDefault="00F0412E" w:rsidP="00C81E6C">
            <w:pPr>
              <w:rPr>
                <w:rFonts w:asciiTheme="minorHAnsi" w:hAnsiTheme="minorHAnsi" w:cs="Arial"/>
                <w:b/>
              </w:rPr>
            </w:pPr>
            <w:r w:rsidRPr="000D2244">
              <w:rPr>
                <w:rFonts w:asciiTheme="minorHAnsi" w:hAnsiTheme="minorHAnsi" w:cs="Arial"/>
                <w:b/>
                <w:color w:val="000000"/>
              </w:rPr>
              <w:t>Forwarding applicant/candidate data recommended wording</w:t>
            </w:r>
          </w:p>
        </w:tc>
        <w:tc>
          <w:tcPr>
            <w:tcW w:w="6661" w:type="dxa"/>
          </w:tcPr>
          <w:p w14:paraId="441B53CC" w14:textId="77777777" w:rsidR="00F0412E" w:rsidRPr="000D2244" w:rsidRDefault="00F0412E" w:rsidP="00C81E6C">
            <w:pPr>
              <w:rPr>
                <w:rFonts w:asciiTheme="minorHAnsi" w:hAnsiTheme="minorHAnsi" w:cs="Arial"/>
                <w:i/>
                <w:color w:val="000000"/>
              </w:rPr>
            </w:pPr>
            <w:r w:rsidRPr="000D2244">
              <w:rPr>
                <w:rFonts w:asciiTheme="minorHAnsi" w:hAnsiTheme="minorHAnsi" w:cs="Arial"/>
                <w:i/>
                <w:color w:val="000000"/>
              </w:rPr>
              <w:t>This paperwork contains personal data concerning (potential) applicants / candidates for this role. As such, we request that it is treated with confidentiality at all times and is not distributed to a wider group of individuals than has previously been agreed. To be GDPR compliant, please delete this email when the applicant data is no longer relevant.</w:t>
            </w:r>
          </w:p>
        </w:tc>
      </w:tr>
      <w:tr w:rsidR="00F0412E" w:rsidRPr="000D2244" w14:paraId="6D504082" w14:textId="77777777" w:rsidTr="00C81E6C">
        <w:tc>
          <w:tcPr>
            <w:tcW w:w="3115" w:type="dxa"/>
          </w:tcPr>
          <w:p w14:paraId="7D387598" w14:textId="77777777" w:rsidR="00F0412E" w:rsidRPr="000D2244" w:rsidRDefault="00F0412E" w:rsidP="00C81E6C">
            <w:pPr>
              <w:rPr>
                <w:rFonts w:asciiTheme="minorHAnsi" w:hAnsiTheme="minorHAnsi" w:cs="Arial"/>
                <w:b/>
              </w:rPr>
            </w:pPr>
            <w:r w:rsidRPr="000D2244">
              <w:rPr>
                <w:rFonts w:asciiTheme="minorHAnsi" w:hAnsiTheme="minorHAnsi" w:cs="Arial"/>
                <w:b/>
                <w:color w:val="000000"/>
              </w:rPr>
              <w:t>Email signature confidentiality recommended wording</w:t>
            </w:r>
          </w:p>
        </w:tc>
        <w:tc>
          <w:tcPr>
            <w:tcW w:w="6661" w:type="dxa"/>
          </w:tcPr>
          <w:p w14:paraId="7A0447E5" w14:textId="77777777" w:rsidR="00F0412E" w:rsidRPr="000D2244" w:rsidRDefault="00F0412E" w:rsidP="00C81E6C">
            <w:pPr>
              <w:rPr>
                <w:rFonts w:asciiTheme="minorHAnsi" w:hAnsiTheme="minorHAnsi" w:cs="Arial"/>
                <w:i/>
                <w:color w:val="000000"/>
              </w:rPr>
            </w:pPr>
            <w:r w:rsidRPr="000D2244">
              <w:rPr>
                <w:rFonts w:asciiTheme="minorHAnsi" w:hAnsiTheme="minorHAnsi" w:cs="Arial"/>
                <w:i/>
                <w:color w:val="000000"/>
              </w:rPr>
              <w:t>Any information contained herein is intended only for the named recipient and is to remain confidential and under no circumstances be distributed, disclosed, copied or transmitted to other parties without the express permission of Imperial College London. If you are not the intended recipient please notify the sender immediately and delete this email from your system.</w:t>
            </w:r>
          </w:p>
          <w:p w14:paraId="114709D1" w14:textId="77777777" w:rsidR="00F0412E" w:rsidRPr="000D2244" w:rsidRDefault="00F0412E" w:rsidP="00C81E6C">
            <w:pPr>
              <w:rPr>
                <w:rFonts w:asciiTheme="minorHAnsi" w:hAnsiTheme="minorHAnsi" w:cs="Arial"/>
                <w:b/>
              </w:rPr>
            </w:pPr>
          </w:p>
        </w:tc>
      </w:tr>
    </w:tbl>
    <w:p w14:paraId="62368D63" w14:textId="12F7AC71" w:rsidR="00CC3BE1" w:rsidRPr="00AF04DE" w:rsidRDefault="00624FF9" w:rsidP="004925D0">
      <w:pPr>
        <w:spacing w:after="0" w:line="240" w:lineRule="auto"/>
        <w:rPr>
          <w:rFonts w:ascii="Arial" w:hAnsi="Arial" w:cs="Arial"/>
          <w:color w:val="000000" w:themeColor="text1"/>
          <w:sz w:val="20"/>
          <w:szCs w:val="20"/>
          <w:lang w:eastAsia="en-GB"/>
        </w:rPr>
      </w:pPr>
      <w:r w:rsidRPr="00624FF9">
        <w:rPr>
          <w:rFonts w:ascii="Arial" w:hAnsi="Arial" w:cs="Arial"/>
          <w:color w:val="000000" w:themeColor="text1"/>
          <w:sz w:val="20"/>
          <w:szCs w:val="20"/>
          <w:lang w:eastAsia="en-GB"/>
        </w:rPr>
        <w:t xml:space="preserve">For any help and advice please contact the Recruitment Hub: </w:t>
      </w:r>
      <w:hyperlink r:id="rId19" w:history="1">
        <w:r w:rsidRPr="00624FF9">
          <w:rPr>
            <w:rStyle w:val="Hyperlink"/>
            <w:rFonts w:ascii="Arial" w:hAnsi="Arial" w:cs="Arial"/>
            <w:sz w:val="20"/>
            <w:szCs w:val="20"/>
            <w:lang w:eastAsia="en-GB"/>
          </w:rPr>
          <w:t>recruitmenthub@imperial.ac.uk</w:t>
        </w:r>
      </w:hyperlink>
    </w:p>
    <w:sectPr w:rsidR="00CC3BE1" w:rsidRPr="00AF04DE">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96382" w14:textId="77777777" w:rsidR="00D51A6E" w:rsidRDefault="00D51A6E" w:rsidP="00DB6001">
      <w:pPr>
        <w:spacing w:after="0" w:line="240" w:lineRule="auto"/>
      </w:pPr>
      <w:r>
        <w:separator/>
      </w:r>
    </w:p>
  </w:endnote>
  <w:endnote w:type="continuationSeparator" w:id="0">
    <w:p w14:paraId="29492A7A" w14:textId="77777777" w:rsidR="00D51A6E" w:rsidRDefault="00D51A6E" w:rsidP="00DB6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9568644"/>
      <w:docPartObj>
        <w:docPartGallery w:val="Page Numbers (Bottom of Page)"/>
        <w:docPartUnique/>
      </w:docPartObj>
    </w:sdtPr>
    <w:sdtEndPr>
      <w:rPr>
        <w:noProof/>
      </w:rPr>
    </w:sdtEndPr>
    <w:sdtContent>
      <w:p w14:paraId="58266E0E" w14:textId="406E07F9" w:rsidR="0040165B" w:rsidRDefault="0040165B">
        <w:pPr>
          <w:pStyle w:val="Footer"/>
          <w:jc w:val="center"/>
        </w:pPr>
        <w:r>
          <w:fldChar w:fldCharType="begin"/>
        </w:r>
        <w:r>
          <w:instrText xml:space="preserve"> PAGE   \* MERGEFORMAT </w:instrText>
        </w:r>
        <w:r>
          <w:fldChar w:fldCharType="separate"/>
        </w:r>
        <w:r w:rsidR="001E009D">
          <w:rPr>
            <w:noProof/>
          </w:rPr>
          <w:t>3</w:t>
        </w:r>
        <w:r>
          <w:rPr>
            <w:noProof/>
          </w:rPr>
          <w:fldChar w:fldCharType="end"/>
        </w:r>
      </w:p>
    </w:sdtContent>
  </w:sdt>
  <w:p w14:paraId="07F05ED6" w14:textId="77777777" w:rsidR="0040165B" w:rsidRDefault="00401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ABDD5" w14:textId="77777777" w:rsidR="00D51A6E" w:rsidRDefault="00D51A6E" w:rsidP="00DB6001">
      <w:pPr>
        <w:spacing w:after="0" w:line="240" w:lineRule="auto"/>
      </w:pPr>
      <w:r>
        <w:separator/>
      </w:r>
    </w:p>
  </w:footnote>
  <w:footnote w:type="continuationSeparator" w:id="0">
    <w:p w14:paraId="2BF9AB80" w14:textId="77777777" w:rsidR="00D51A6E" w:rsidRDefault="00D51A6E" w:rsidP="00DB6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53297"/>
    <w:multiLevelType w:val="hybridMultilevel"/>
    <w:tmpl w:val="C3702B28"/>
    <w:lvl w:ilvl="0" w:tplc="1B5A8F1E">
      <w:start w:val="1"/>
      <w:numFmt w:val="decimal"/>
      <w:lvlText w:val="%1."/>
      <w:lvlJc w:val="left"/>
      <w:pPr>
        <w:ind w:left="36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47364"/>
    <w:multiLevelType w:val="hybridMultilevel"/>
    <w:tmpl w:val="9F4009BE"/>
    <w:lvl w:ilvl="0" w:tplc="5FF24AD8">
      <w:start w:val="1"/>
      <w:numFmt w:val="decimal"/>
      <w:lvlText w:val="%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B1709"/>
    <w:multiLevelType w:val="hybridMultilevel"/>
    <w:tmpl w:val="565090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F015AAB"/>
    <w:multiLevelType w:val="hybridMultilevel"/>
    <w:tmpl w:val="63DE9FA6"/>
    <w:lvl w:ilvl="0" w:tplc="2C4A6044">
      <w:start w:val="6"/>
      <w:numFmt w:val="bullet"/>
      <w:lvlText w:val="-"/>
      <w:lvlJc w:val="left"/>
      <w:pPr>
        <w:ind w:left="1440" w:hanging="360"/>
      </w:pPr>
      <w:rPr>
        <w:rFonts w:ascii="Arial" w:eastAsiaTheme="minorHAnsi" w:hAnsi="Arial" w:cs="Arial" w:hint="default"/>
        <w:b/>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C15CCD"/>
    <w:multiLevelType w:val="hybridMultilevel"/>
    <w:tmpl w:val="F8C400BA"/>
    <w:lvl w:ilvl="0" w:tplc="2F1A56CA">
      <w:numFmt w:val="bullet"/>
      <w:lvlText w:val="-"/>
      <w:lvlJc w:val="left"/>
      <w:pPr>
        <w:ind w:left="405" w:hanging="360"/>
      </w:pPr>
      <w:rPr>
        <w:rFonts w:ascii="Calibri" w:eastAsiaTheme="minorHAnsi" w:hAnsi="Calibri" w:cs="Calibri" w:hint="default"/>
        <w:color w:val="00206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12C37643"/>
    <w:multiLevelType w:val="hybridMultilevel"/>
    <w:tmpl w:val="873A5AC8"/>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6" w15:restartNumberingAfterBreak="0">
    <w:nsid w:val="12EA4AA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94"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4FE0DEF"/>
    <w:multiLevelType w:val="hybridMultilevel"/>
    <w:tmpl w:val="8138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A2686"/>
    <w:multiLevelType w:val="hybridMultilevel"/>
    <w:tmpl w:val="FD4287F0"/>
    <w:lvl w:ilvl="0" w:tplc="D67CE4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B93238"/>
    <w:multiLevelType w:val="hybridMultilevel"/>
    <w:tmpl w:val="DDC8F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B55808"/>
    <w:multiLevelType w:val="hybridMultilevel"/>
    <w:tmpl w:val="AB76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B2F2D"/>
    <w:multiLevelType w:val="hybridMultilevel"/>
    <w:tmpl w:val="29B2D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3D2590"/>
    <w:multiLevelType w:val="hybridMultilevel"/>
    <w:tmpl w:val="C92E71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AA419CA"/>
    <w:multiLevelType w:val="hybridMultilevel"/>
    <w:tmpl w:val="C4D60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A544E8"/>
    <w:multiLevelType w:val="hybridMultilevel"/>
    <w:tmpl w:val="9EDE3A36"/>
    <w:lvl w:ilvl="0" w:tplc="877C20A2">
      <w:start w:val="1"/>
      <w:numFmt w:val="decimal"/>
      <w:lvlText w:val="%1."/>
      <w:lvlJc w:val="left"/>
      <w:pPr>
        <w:ind w:left="405" w:hanging="360"/>
      </w:pPr>
      <w:rPr>
        <w:rFonts w:hint="default"/>
        <w:b w:val="0"/>
        <w:color w:val="auto"/>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15:restartNumberingAfterBreak="0">
    <w:nsid w:val="2E3B3DEE"/>
    <w:multiLevelType w:val="hybridMultilevel"/>
    <w:tmpl w:val="8AB0FEB8"/>
    <w:lvl w:ilvl="0" w:tplc="A73AD3F4">
      <w:start w:val="1"/>
      <w:numFmt w:val="bullet"/>
      <w:lvlText w:val=""/>
      <w:lvlJc w:val="left"/>
      <w:pPr>
        <w:ind w:left="360" w:hanging="360"/>
      </w:pPr>
      <w:rPr>
        <w:rFonts w:ascii="Wingdings" w:hAnsi="Wingdings" w:hint="default"/>
        <w:b/>
        <w:color w:val="70AD47"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1E3C21"/>
    <w:multiLevelType w:val="hybridMultilevel"/>
    <w:tmpl w:val="015C78A4"/>
    <w:lvl w:ilvl="0" w:tplc="2C4A6044">
      <w:start w:val="6"/>
      <w:numFmt w:val="bullet"/>
      <w:lvlText w:val="-"/>
      <w:lvlJc w:val="left"/>
      <w:pPr>
        <w:ind w:left="1440" w:hanging="360"/>
      </w:pPr>
      <w:rPr>
        <w:rFonts w:ascii="Arial" w:eastAsiaTheme="minorHAnsi" w:hAnsi="Arial" w:cs="Aria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35A9E"/>
    <w:multiLevelType w:val="hybridMultilevel"/>
    <w:tmpl w:val="4440D6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873C7E"/>
    <w:multiLevelType w:val="hybridMultilevel"/>
    <w:tmpl w:val="7B92F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6D5290"/>
    <w:multiLevelType w:val="hybridMultilevel"/>
    <w:tmpl w:val="5A6E9B0E"/>
    <w:lvl w:ilvl="0" w:tplc="2806F49A">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0" w15:restartNumberingAfterBreak="0">
    <w:nsid w:val="5820198E"/>
    <w:multiLevelType w:val="hybridMultilevel"/>
    <w:tmpl w:val="2CA2C566"/>
    <w:lvl w:ilvl="0" w:tplc="E8E65A50">
      <w:start w:val="1"/>
      <w:numFmt w:val="decimal"/>
      <w:lvlText w:val="%1"/>
      <w:lvlJc w:val="left"/>
      <w:pPr>
        <w:ind w:left="72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A73972"/>
    <w:multiLevelType w:val="hybridMultilevel"/>
    <w:tmpl w:val="1DA811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391AF9"/>
    <w:multiLevelType w:val="hybridMultilevel"/>
    <w:tmpl w:val="29B2D9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3CC2E18"/>
    <w:multiLevelType w:val="hybridMultilevel"/>
    <w:tmpl w:val="2ED2905C"/>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4" w15:restartNumberingAfterBreak="0">
    <w:nsid w:val="78965C86"/>
    <w:multiLevelType w:val="hybridMultilevel"/>
    <w:tmpl w:val="95D81A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9"/>
  </w:num>
  <w:num w:numId="7">
    <w:abstractNumId w:val="22"/>
  </w:num>
  <w:num w:numId="8">
    <w:abstractNumId w:val="14"/>
  </w:num>
  <w:num w:numId="9">
    <w:abstractNumId w:val="2"/>
  </w:num>
  <w:num w:numId="10">
    <w:abstractNumId w:val="11"/>
  </w:num>
  <w:num w:numId="11">
    <w:abstractNumId w:val="0"/>
  </w:num>
  <w:num w:numId="12">
    <w:abstractNumId w:val="3"/>
  </w:num>
  <w:num w:numId="13">
    <w:abstractNumId w:val="19"/>
  </w:num>
  <w:num w:numId="14">
    <w:abstractNumId w:val="24"/>
  </w:num>
  <w:num w:numId="15">
    <w:abstractNumId w:val="10"/>
  </w:num>
  <w:num w:numId="16">
    <w:abstractNumId w:val="16"/>
  </w:num>
  <w:num w:numId="17">
    <w:abstractNumId w:val="23"/>
  </w:num>
  <w:num w:numId="18">
    <w:abstractNumId w:val="20"/>
  </w:num>
  <w:num w:numId="19">
    <w:abstractNumId w:val="8"/>
  </w:num>
  <w:num w:numId="20">
    <w:abstractNumId w:val="1"/>
  </w:num>
  <w:num w:numId="21">
    <w:abstractNumId w:val="18"/>
  </w:num>
  <w:num w:numId="22">
    <w:abstractNumId w:val="7"/>
  </w:num>
  <w:num w:numId="23">
    <w:abstractNumId w:val="17"/>
  </w:num>
  <w:num w:numId="24">
    <w:abstractNumId w:val="15"/>
  </w:num>
  <w:num w:numId="25">
    <w:abstractNumId w:val="2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01"/>
    <w:rsid w:val="00033163"/>
    <w:rsid w:val="00065049"/>
    <w:rsid w:val="000D7060"/>
    <w:rsid w:val="000E2B60"/>
    <w:rsid w:val="00116C96"/>
    <w:rsid w:val="00125AA7"/>
    <w:rsid w:val="001569C8"/>
    <w:rsid w:val="00182BBC"/>
    <w:rsid w:val="00185D8E"/>
    <w:rsid w:val="00196456"/>
    <w:rsid w:val="001A6D91"/>
    <w:rsid w:val="001E009D"/>
    <w:rsid w:val="001F0F58"/>
    <w:rsid w:val="001F2AD2"/>
    <w:rsid w:val="0020579B"/>
    <w:rsid w:val="002120BF"/>
    <w:rsid w:val="00232F4B"/>
    <w:rsid w:val="002653C6"/>
    <w:rsid w:val="002705D6"/>
    <w:rsid w:val="002846E8"/>
    <w:rsid w:val="0028489F"/>
    <w:rsid w:val="002C17E4"/>
    <w:rsid w:val="002D01D7"/>
    <w:rsid w:val="002D4E88"/>
    <w:rsid w:val="002D52D0"/>
    <w:rsid w:val="002D7E30"/>
    <w:rsid w:val="002F47C0"/>
    <w:rsid w:val="00300462"/>
    <w:rsid w:val="00300D73"/>
    <w:rsid w:val="00304BFE"/>
    <w:rsid w:val="00310035"/>
    <w:rsid w:val="00322163"/>
    <w:rsid w:val="0032352C"/>
    <w:rsid w:val="00342A4D"/>
    <w:rsid w:val="00381BCB"/>
    <w:rsid w:val="00393484"/>
    <w:rsid w:val="0040165B"/>
    <w:rsid w:val="004206F8"/>
    <w:rsid w:val="00421ECB"/>
    <w:rsid w:val="00423CA5"/>
    <w:rsid w:val="00460B8E"/>
    <w:rsid w:val="00470FE1"/>
    <w:rsid w:val="004743DC"/>
    <w:rsid w:val="004925D0"/>
    <w:rsid w:val="004A09C4"/>
    <w:rsid w:val="004A5D3D"/>
    <w:rsid w:val="004C28DC"/>
    <w:rsid w:val="004C3973"/>
    <w:rsid w:val="004C7D4F"/>
    <w:rsid w:val="0053569C"/>
    <w:rsid w:val="00535A5E"/>
    <w:rsid w:val="005362F7"/>
    <w:rsid w:val="00542019"/>
    <w:rsid w:val="00557B4E"/>
    <w:rsid w:val="00577942"/>
    <w:rsid w:val="00580BB2"/>
    <w:rsid w:val="0059040B"/>
    <w:rsid w:val="005A351E"/>
    <w:rsid w:val="005B2919"/>
    <w:rsid w:val="005D5EE8"/>
    <w:rsid w:val="00624FF9"/>
    <w:rsid w:val="006665C4"/>
    <w:rsid w:val="00692E00"/>
    <w:rsid w:val="006B55FA"/>
    <w:rsid w:val="006D40C6"/>
    <w:rsid w:val="006F4195"/>
    <w:rsid w:val="00703A55"/>
    <w:rsid w:val="0071235D"/>
    <w:rsid w:val="00717B64"/>
    <w:rsid w:val="00722A7D"/>
    <w:rsid w:val="00741C50"/>
    <w:rsid w:val="00742CC5"/>
    <w:rsid w:val="00752D7E"/>
    <w:rsid w:val="007545EA"/>
    <w:rsid w:val="00763A4B"/>
    <w:rsid w:val="00786F9E"/>
    <w:rsid w:val="007C037C"/>
    <w:rsid w:val="007E11E8"/>
    <w:rsid w:val="007E2936"/>
    <w:rsid w:val="00814F2F"/>
    <w:rsid w:val="00823B94"/>
    <w:rsid w:val="00835C7D"/>
    <w:rsid w:val="0084049C"/>
    <w:rsid w:val="008421A1"/>
    <w:rsid w:val="0084666F"/>
    <w:rsid w:val="00847F5F"/>
    <w:rsid w:val="008A2A6F"/>
    <w:rsid w:val="008C07C6"/>
    <w:rsid w:val="008D148A"/>
    <w:rsid w:val="008F43BE"/>
    <w:rsid w:val="00905025"/>
    <w:rsid w:val="009208D2"/>
    <w:rsid w:val="009242C2"/>
    <w:rsid w:val="00937118"/>
    <w:rsid w:val="009758A4"/>
    <w:rsid w:val="00980A4F"/>
    <w:rsid w:val="00987FBD"/>
    <w:rsid w:val="00995E40"/>
    <w:rsid w:val="009B5C0F"/>
    <w:rsid w:val="009B699B"/>
    <w:rsid w:val="009D67AB"/>
    <w:rsid w:val="009F7D3C"/>
    <w:rsid w:val="00A017C0"/>
    <w:rsid w:val="00A50EBD"/>
    <w:rsid w:val="00A5333B"/>
    <w:rsid w:val="00AA7D17"/>
    <w:rsid w:val="00AB5556"/>
    <w:rsid w:val="00AD71C5"/>
    <w:rsid w:val="00AD79C5"/>
    <w:rsid w:val="00AE3A5C"/>
    <w:rsid w:val="00AF04DE"/>
    <w:rsid w:val="00AF648F"/>
    <w:rsid w:val="00B0163D"/>
    <w:rsid w:val="00B05C18"/>
    <w:rsid w:val="00B402A0"/>
    <w:rsid w:val="00B50237"/>
    <w:rsid w:val="00B517DB"/>
    <w:rsid w:val="00B857CD"/>
    <w:rsid w:val="00C137CD"/>
    <w:rsid w:val="00C62CA1"/>
    <w:rsid w:val="00C772A7"/>
    <w:rsid w:val="00C8722A"/>
    <w:rsid w:val="00CA347C"/>
    <w:rsid w:val="00CC3BE1"/>
    <w:rsid w:val="00CC599D"/>
    <w:rsid w:val="00CD1282"/>
    <w:rsid w:val="00CE4C1B"/>
    <w:rsid w:val="00CE7F08"/>
    <w:rsid w:val="00D319BF"/>
    <w:rsid w:val="00D42002"/>
    <w:rsid w:val="00D51A6E"/>
    <w:rsid w:val="00D72CEE"/>
    <w:rsid w:val="00D75017"/>
    <w:rsid w:val="00DB6001"/>
    <w:rsid w:val="00DC367F"/>
    <w:rsid w:val="00E32032"/>
    <w:rsid w:val="00E4046E"/>
    <w:rsid w:val="00E61AE1"/>
    <w:rsid w:val="00E70BD7"/>
    <w:rsid w:val="00E71270"/>
    <w:rsid w:val="00E81375"/>
    <w:rsid w:val="00E95897"/>
    <w:rsid w:val="00E9662B"/>
    <w:rsid w:val="00EB1CD4"/>
    <w:rsid w:val="00F0412E"/>
    <w:rsid w:val="00F04AFF"/>
    <w:rsid w:val="00F26D61"/>
    <w:rsid w:val="00F318D6"/>
    <w:rsid w:val="00F406B5"/>
    <w:rsid w:val="00F42DC6"/>
    <w:rsid w:val="00F52138"/>
    <w:rsid w:val="00F6263F"/>
    <w:rsid w:val="00F7293C"/>
    <w:rsid w:val="00FA2516"/>
    <w:rsid w:val="00FB3412"/>
    <w:rsid w:val="00FC4F9F"/>
    <w:rsid w:val="00FC7328"/>
    <w:rsid w:val="1C634B3A"/>
    <w:rsid w:val="2E528DF0"/>
    <w:rsid w:val="47F7A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230C96"/>
  <w15:chartTrackingRefBased/>
  <w15:docId w15:val="{2E4D7F76-5981-44AD-B436-885D6C7A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001"/>
  </w:style>
  <w:style w:type="paragraph" w:styleId="Footer">
    <w:name w:val="footer"/>
    <w:basedOn w:val="Normal"/>
    <w:link w:val="FooterChar"/>
    <w:uiPriority w:val="99"/>
    <w:unhideWhenUsed/>
    <w:rsid w:val="00DB6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001"/>
  </w:style>
  <w:style w:type="paragraph" w:styleId="ListParagraph">
    <w:name w:val="List Paragraph"/>
    <w:basedOn w:val="Normal"/>
    <w:uiPriority w:val="34"/>
    <w:qFormat/>
    <w:rsid w:val="00AA7D17"/>
    <w:pPr>
      <w:ind w:left="720"/>
      <w:contextualSpacing/>
    </w:pPr>
  </w:style>
  <w:style w:type="character" w:styleId="Hyperlink">
    <w:name w:val="Hyperlink"/>
    <w:basedOn w:val="DefaultParagraphFont"/>
    <w:uiPriority w:val="99"/>
    <w:unhideWhenUsed/>
    <w:rsid w:val="008C07C6"/>
    <w:rPr>
      <w:color w:val="0563C1"/>
      <w:u w:val="single"/>
    </w:rPr>
  </w:style>
  <w:style w:type="character" w:styleId="FollowedHyperlink">
    <w:name w:val="FollowedHyperlink"/>
    <w:basedOn w:val="DefaultParagraphFont"/>
    <w:uiPriority w:val="99"/>
    <w:semiHidden/>
    <w:unhideWhenUsed/>
    <w:rsid w:val="00D72CEE"/>
    <w:rPr>
      <w:color w:val="954F72" w:themeColor="followedHyperlink"/>
      <w:u w:val="single"/>
    </w:rPr>
  </w:style>
  <w:style w:type="character" w:styleId="CommentReference">
    <w:name w:val="annotation reference"/>
    <w:basedOn w:val="DefaultParagraphFont"/>
    <w:uiPriority w:val="99"/>
    <w:semiHidden/>
    <w:unhideWhenUsed/>
    <w:rsid w:val="00F318D6"/>
    <w:rPr>
      <w:sz w:val="16"/>
      <w:szCs w:val="16"/>
    </w:rPr>
  </w:style>
  <w:style w:type="paragraph" w:styleId="CommentText">
    <w:name w:val="annotation text"/>
    <w:basedOn w:val="Normal"/>
    <w:link w:val="CommentTextChar"/>
    <w:uiPriority w:val="99"/>
    <w:semiHidden/>
    <w:unhideWhenUsed/>
    <w:rsid w:val="00F318D6"/>
    <w:pPr>
      <w:spacing w:line="240" w:lineRule="auto"/>
    </w:pPr>
    <w:rPr>
      <w:sz w:val="20"/>
      <w:szCs w:val="20"/>
    </w:rPr>
  </w:style>
  <w:style w:type="character" w:customStyle="1" w:styleId="CommentTextChar">
    <w:name w:val="Comment Text Char"/>
    <w:basedOn w:val="DefaultParagraphFont"/>
    <w:link w:val="CommentText"/>
    <w:uiPriority w:val="99"/>
    <w:semiHidden/>
    <w:rsid w:val="00F318D6"/>
    <w:rPr>
      <w:sz w:val="20"/>
      <w:szCs w:val="20"/>
    </w:rPr>
  </w:style>
  <w:style w:type="paragraph" w:styleId="CommentSubject">
    <w:name w:val="annotation subject"/>
    <w:basedOn w:val="CommentText"/>
    <w:next w:val="CommentText"/>
    <w:link w:val="CommentSubjectChar"/>
    <w:uiPriority w:val="99"/>
    <w:semiHidden/>
    <w:unhideWhenUsed/>
    <w:rsid w:val="00F318D6"/>
    <w:rPr>
      <w:b/>
      <w:bCs/>
    </w:rPr>
  </w:style>
  <w:style w:type="character" w:customStyle="1" w:styleId="CommentSubjectChar">
    <w:name w:val="Comment Subject Char"/>
    <w:basedOn w:val="CommentTextChar"/>
    <w:link w:val="CommentSubject"/>
    <w:uiPriority w:val="99"/>
    <w:semiHidden/>
    <w:rsid w:val="00F318D6"/>
    <w:rPr>
      <w:b/>
      <w:bCs/>
      <w:sz w:val="20"/>
      <w:szCs w:val="20"/>
    </w:rPr>
  </w:style>
  <w:style w:type="paragraph" w:styleId="BalloonText">
    <w:name w:val="Balloon Text"/>
    <w:basedOn w:val="Normal"/>
    <w:link w:val="BalloonTextChar"/>
    <w:uiPriority w:val="99"/>
    <w:semiHidden/>
    <w:unhideWhenUsed/>
    <w:rsid w:val="00F31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8D6"/>
    <w:rPr>
      <w:rFonts w:ascii="Segoe UI" w:hAnsi="Segoe UI" w:cs="Segoe UI"/>
      <w:sz w:val="18"/>
      <w:szCs w:val="18"/>
    </w:rPr>
  </w:style>
  <w:style w:type="character" w:styleId="Strong">
    <w:name w:val="Strong"/>
    <w:basedOn w:val="DefaultParagraphFont"/>
    <w:uiPriority w:val="22"/>
    <w:qFormat/>
    <w:rsid w:val="005B2919"/>
    <w:rPr>
      <w:b/>
      <w:bCs/>
    </w:rPr>
  </w:style>
  <w:style w:type="character" w:styleId="UnresolvedMention">
    <w:name w:val="Unresolved Mention"/>
    <w:basedOn w:val="DefaultParagraphFont"/>
    <w:uiPriority w:val="99"/>
    <w:semiHidden/>
    <w:unhideWhenUsed/>
    <w:rsid w:val="00752D7E"/>
    <w:rPr>
      <w:color w:val="605E5C"/>
      <w:shd w:val="clear" w:color="auto" w:fill="E1DFDD"/>
    </w:rPr>
  </w:style>
  <w:style w:type="paragraph" w:customStyle="1" w:styleId="textbox">
    <w:name w:val="textbox"/>
    <w:basedOn w:val="Normal"/>
    <w:rsid w:val="00F0412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04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1779">
      <w:bodyDiv w:val="1"/>
      <w:marLeft w:val="0"/>
      <w:marRight w:val="0"/>
      <w:marTop w:val="0"/>
      <w:marBottom w:val="0"/>
      <w:divBdr>
        <w:top w:val="none" w:sz="0" w:space="0" w:color="auto"/>
        <w:left w:val="none" w:sz="0" w:space="0" w:color="auto"/>
        <w:bottom w:val="none" w:sz="0" w:space="0" w:color="auto"/>
        <w:right w:val="none" w:sz="0" w:space="0" w:color="auto"/>
      </w:divBdr>
    </w:div>
    <w:div w:id="156745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s://www.imperial.ac.uk/admin-services/ict/self-service/connect-communicate/saving-my-fil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ww.imperial.ac.uk/admin-services/secretariat/information-governance/data-protection/" TargetMode="External"/><Relationship Id="rId2" Type="http://schemas.openxmlformats.org/officeDocument/2006/relationships/customXml" Target="../customXml/item2.xml"/><Relationship Id="rId16" Type="http://schemas.openxmlformats.org/officeDocument/2006/relationships/hyperlink" Target="https://www.imperial.ac.uk/jobs/poli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mailto:recruitmenthub@imperia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B93C5E-089B-430D-9027-154943EE9F67}" type="doc">
      <dgm:prSet loTypeId="urn:microsoft.com/office/officeart/2005/8/layout/rings+Icon" loCatId="relationship" qsTypeId="urn:microsoft.com/office/officeart/2005/8/quickstyle/3d2" qsCatId="3D" csTypeId="urn:microsoft.com/office/officeart/2005/8/colors/accent1_2" csCatId="accent1" phldr="1"/>
      <dgm:spPr/>
    </dgm:pt>
    <dgm:pt modelId="{DBA72A17-D758-4187-82C5-55C8374FD917}">
      <dgm:prSet phldrT="[Text]" custT="1"/>
      <dgm:spPr>
        <a:xfrm>
          <a:off x="-82257" y="344638"/>
          <a:ext cx="2918812" cy="2850644"/>
        </a:xfrm>
        <a:solidFill>
          <a:schemeClr val="accent1"/>
        </a:solidFill>
      </dgm:spPr>
      <dgm:t>
        <a:bodyPr/>
        <a:lstStyle/>
        <a:p>
          <a:pPr algn="ctr"/>
          <a:r>
            <a:rPr lang="en-GB" sz="1600" b="1" dirty="0">
              <a:latin typeface="Calibri" panose="020F0502020204030204"/>
              <a:ea typeface="+mn-ea"/>
              <a:cs typeface="+mn-cs"/>
            </a:rPr>
            <a:t>What is it?</a:t>
          </a:r>
        </a:p>
        <a:p>
          <a:pPr algn="ctr"/>
          <a:r>
            <a:rPr lang="en-GB" sz="1000" dirty="0">
              <a:latin typeface="Calibri" panose="020F0502020204030204"/>
              <a:ea typeface="+mn-ea"/>
              <a:cs typeface="+mn-cs"/>
            </a:rPr>
            <a:t>The General Data Protection Regulation (GDPR) is Europe’s framework for data protection laws. </a:t>
          </a:r>
        </a:p>
        <a:p>
          <a:pPr algn="ctr"/>
          <a:r>
            <a:rPr lang="en-GB" sz="1000" dirty="0">
              <a:latin typeface="Calibri" panose="020F0502020204030204"/>
              <a:ea typeface="+mn-ea"/>
              <a:cs typeface="+mn-cs"/>
            </a:rPr>
            <a:t>It gives EU residents more control over how organisations collect, process, store, and share their personal data, and requires organisations to undertake specific steps to ensure they are adequately protecting the personal data they collect or otherwise process. </a:t>
          </a:r>
          <a:endParaRPr lang="en-US" sz="1000" dirty="0">
            <a:latin typeface="Calibri" panose="020F0502020204030204"/>
            <a:ea typeface="+mn-ea"/>
            <a:cs typeface="+mn-cs"/>
          </a:endParaRPr>
        </a:p>
      </dgm:t>
    </dgm:pt>
    <dgm:pt modelId="{DE78557B-9494-43E2-ABA8-C4D488E7513D}" type="parTrans" cxnId="{47D12BFB-0C43-4CE9-BCE5-F565CB99F326}">
      <dgm:prSet/>
      <dgm:spPr/>
      <dgm:t>
        <a:bodyPr/>
        <a:lstStyle/>
        <a:p>
          <a:pPr algn="ctr"/>
          <a:endParaRPr lang="en-US"/>
        </a:p>
      </dgm:t>
    </dgm:pt>
    <dgm:pt modelId="{55C723E3-8D91-45CB-B192-5D99D6C94727}" type="sibTrans" cxnId="{47D12BFB-0C43-4CE9-BCE5-F565CB99F326}">
      <dgm:prSet/>
      <dgm:spPr/>
      <dgm:t>
        <a:bodyPr/>
        <a:lstStyle/>
        <a:p>
          <a:pPr algn="ctr"/>
          <a:endParaRPr lang="en-US"/>
        </a:p>
      </dgm:t>
    </dgm:pt>
    <dgm:pt modelId="{78742278-D2B0-4F09-9430-6A034B5AF7A4}">
      <dgm:prSet phldrT="[Text]" custT="1"/>
      <dgm:spPr>
        <a:xfrm>
          <a:off x="1451402" y="2365833"/>
          <a:ext cx="2712071" cy="2712032"/>
        </a:xfrm>
        <a:solidFill>
          <a:schemeClr val="accent4"/>
        </a:solidFill>
      </dgm:spPr>
      <dgm:t>
        <a:bodyPr/>
        <a:lstStyle/>
        <a:p>
          <a:pPr algn="ctr"/>
          <a:r>
            <a:rPr lang="en-GB" sz="1600" b="1" dirty="0">
              <a:latin typeface="Calibri" panose="020F0502020204030204"/>
              <a:ea typeface="+mn-ea"/>
              <a:cs typeface="+mn-cs"/>
            </a:rPr>
            <a:t>How can this impact you? </a:t>
          </a:r>
        </a:p>
        <a:p>
          <a:pPr algn="ctr"/>
          <a:r>
            <a:rPr lang="en-GB" sz="1200" dirty="0">
              <a:latin typeface="Calibri" panose="020F0502020204030204"/>
              <a:ea typeface="+mn-ea"/>
              <a:cs typeface="+mn-cs"/>
            </a:rPr>
            <a:t>The penalties for non-compliance are high. Imperial College can be fined up to 4% of annual global turnover or €20 million (whichever is greater)</a:t>
          </a:r>
          <a:endParaRPr lang="en-US" sz="1200" dirty="0">
            <a:latin typeface="Calibri" panose="020F0502020204030204"/>
            <a:ea typeface="+mn-ea"/>
            <a:cs typeface="+mn-cs"/>
          </a:endParaRPr>
        </a:p>
      </dgm:t>
    </dgm:pt>
    <dgm:pt modelId="{74528923-EDE5-47D5-BDBD-41A3F952F041}" type="parTrans" cxnId="{35541DD3-21BF-4887-89F6-6AFA38AD0E7F}">
      <dgm:prSet/>
      <dgm:spPr/>
      <dgm:t>
        <a:bodyPr/>
        <a:lstStyle/>
        <a:p>
          <a:pPr algn="ctr"/>
          <a:endParaRPr lang="en-US"/>
        </a:p>
      </dgm:t>
    </dgm:pt>
    <dgm:pt modelId="{9B9C7C01-F947-4E53-B4F0-79F7E1573090}" type="sibTrans" cxnId="{35541DD3-21BF-4887-89F6-6AFA38AD0E7F}">
      <dgm:prSet/>
      <dgm:spPr/>
      <dgm:t>
        <a:bodyPr/>
        <a:lstStyle/>
        <a:p>
          <a:pPr algn="ctr"/>
          <a:endParaRPr lang="en-US"/>
        </a:p>
      </dgm:t>
    </dgm:pt>
    <dgm:pt modelId="{64B0A095-F43F-48BA-B85A-E42C35291550}" type="pres">
      <dgm:prSet presAssocID="{28B93C5E-089B-430D-9027-154943EE9F67}" presName="Name0" presStyleCnt="0">
        <dgm:presLayoutVars>
          <dgm:chMax val="7"/>
          <dgm:dir/>
          <dgm:resizeHandles val="exact"/>
        </dgm:presLayoutVars>
      </dgm:prSet>
      <dgm:spPr/>
    </dgm:pt>
    <dgm:pt modelId="{779922A8-58B9-4409-A843-A73626F3B873}" type="pres">
      <dgm:prSet presAssocID="{28B93C5E-089B-430D-9027-154943EE9F67}" presName="ellipse1" presStyleLbl="vennNode1" presStyleIdx="0" presStyleCnt="2" custScaleX="107623" custScaleY="105111" custLinFactNeighborX="-30381" custLinFactNeighborY="5813">
        <dgm:presLayoutVars>
          <dgm:bulletEnabled val="1"/>
        </dgm:presLayoutVars>
      </dgm:prSet>
      <dgm:spPr>
        <a:prstGeom prst="ellipse">
          <a:avLst/>
        </a:prstGeom>
      </dgm:spPr>
    </dgm:pt>
    <dgm:pt modelId="{22DB1EAF-4DFC-412D-8230-E47355F01A9F}" type="pres">
      <dgm:prSet presAssocID="{28B93C5E-089B-430D-9027-154943EE9F67}" presName="ellipse2" presStyleLbl="vennNode1" presStyleIdx="1" presStyleCnt="2" custScaleX="113130" custScaleY="108676" custLinFactNeighborX="32950" custLinFactNeighborY="-61177">
        <dgm:presLayoutVars>
          <dgm:bulletEnabled val="1"/>
        </dgm:presLayoutVars>
      </dgm:prSet>
      <dgm:spPr>
        <a:prstGeom prst="ellipse">
          <a:avLst/>
        </a:prstGeom>
      </dgm:spPr>
    </dgm:pt>
  </dgm:ptLst>
  <dgm:cxnLst>
    <dgm:cxn modelId="{7B7E793D-0F56-4C8E-A205-1A3AF9B45396}" type="presOf" srcId="{28B93C5E-089B-430D-9027-154943EE9F67}" destId="{64B0A095-F43F-48BA-B85A-E42C35291550}" srcOrd="0" destOrd="0" presId="urn:microsoft.com/office/officeart/2005/8/layout/rings+Icon"/>
    <dgm:cxn modelId="{B9AD868F-02FF-4D47-A487-F74B9B83BBFA}" type="presOf" srcId="{DBA72A17-D758-4187-82C5-55C8374FD917}" destId="{779922A8-58B9-4409-A843-A73626F3B873}" srcOrd="0" destOrd="0" presId="urn:microsoft.com/office/officeart/2005/8/layout/rings+Icon"/>
    <dgm:cxn modelId="{95B2E6B8-5857-4C72-B3B9-C3BD3B8D4311}" type="presOf" srcId="{78742278-D2B0-4F09-9430-6A034B5AF7A4}" destId="{22DB1EAF-4DFC-412D-8230-E47355F01A9F}" srcOrd="0" destOrd="0" presId="urn:microsoft.com/office/officeart/2005/8/layout/rings+Icon"/>
    <dgm:cxn modelId="{35541DD3-21BF-4887-89F6-6AFA38AD0E7F}" srcId="{28B93C5E-089B-430D-9027-154943EE9F67}" destId="{78742278-D2B0-4F09-9430-6A034B5AF7A4}" srcOrd="1" destOrd="0" parTransId="{74528923-EDE5-47D5-BDBD-41A3F952F041}" sibTransId="{9B9C7C01-F947-4E53-B4F0-79F7E1573090}"/>
    <dgm:cxn modelId="{47D12BFB-0C43-4CE9-BCE5-F565CB99F326}" srcId="{28B93C5E-089B-430D-9027-154943EE9F67}" destId="{DBA72A17-D758-4187-82C5-55C8374FD917}" srcOrd="0" destOrd="0" parTransId="{DE78557B-9494-43E2-ABA8-C4D488E7513D}" sibTransId="{55C723E3-8D91-45CB-B192-5D99D6C94727}"/>
    <dgm:cxn modelId="{95448ABE-D68E-433A-A990-D5166EDC3D34}" type="presParOf" srcId="{64B0A095-F43F-48BA-B85A-E42C35291550}" destId="{779922A8-58B9-4409-A843-A73626F3B873}" srcOrd="0" destOrd="0" presId="urn:microsoft.com/office/officeart/2005/8/layout/rings+Icon"/>
    <dgm:cxn modelId="{64451A51-89CD-4C30-B4A3-873D163D58CA}" type="presParOf" srcId="{64B0A095-F43F-48BA-B85A-E42C35291550}" destId="{22DB1EAF-4DFC-412D-8230-E47355F01A9F}" srcOrd="1" destOrd="0" presId="urn:microsoft.com/office/officeart/2005/8/layout/rings+Icon"/>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9922A8-58B9-4409-A843-A73626F3B873}">
      <dsp:nvSpPr>
        <dsp:cNvPr id="0" name=""/>
        <dsp:cNvSpPr/>
      </dsp:nvSpPr>
      <dsp:spPr>
        <a:xfrm>
          <a:off x="67985" y="62628"/>
          <a:ext cx="2848307" cy="2782022"/>
        </a:xfrm>
        <a:prstGeom prst="ellipse">
          <a:avLst/>
        </a:prstGeom>
        <a:solidFill>
          <a:schemeClr val="accent1"/>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dirty="0">
              <a:latin typeface="Calibri" panose="020F0502020204030204"/>
              <a:ea typeface="+mn-ea"/>
              <a:cs typeface="+mn-cs"/>
            </a:rPr>
            <a:t>What is it?</a:t>
          </a:r>
        </a:p>
        <a:p>
          <a:pPr marL="0" lvl="0" indent="0" algn="ctr" defTabSz="711200">
            <a:lnSpc>
              <a:spcPct val="90000"/>
            </a:lnSpc>
            <a:spcBef>
              <a:spcPct val="0"/>
            </a:spcBef>
            <a:spcAft>
              <a:spcPct val="35000"/>
            </a:spcAft>
            <a:buNone/>
          </a:pPr>
          <a:r>
            <a:rPr lang="en-GB" sz="1000" kern="1200" dirty="0">
              <a:latin typeface="Calibri" panose="020F0502020204030204"/>
              <a:ea typeface="+mn-ea"/>
              <a:cs typeface="+mn-cs"/>
            </a:rPr>
            <a:t>The General Data Protection Regulation (GDPR) is Europe’s framework for data protection laws. </a:t>
          </a:r>
        </a:p>
        <a:p>
          <a:pPr marL="0" lvl="0" indent="0" algn="ctr" defTabSz="711200">
            <a:lnSpc>
              <a:spcPct val="90000"/>
            </a:lnSpc>
            <a:spcBef>
              <a:spcPct val="0"/>
            </a:spcBef>
            <a:spcAft>
              <a:spcPct val="35000"/>
            </a:spcAft>
            <a:buNone/>
          </a:pPr>
          <a:r>
            <a:rPr lang="en-GB" sz="1000" kern="1200" dirty="0">
              <a:latin typeface="Calibri" panose="020F0502020204030204"/>
              <a:ea typeface="+mn-ea"/>
              <a:cs typeface="+mn-cs"/>
            </a:rPr>
            <a:t>It gives EU residents more control over how organisations collect, process, store, and share their personal data, and requires organisations to undertake specific steps to ensure they are adequately protecting the personal data they collect or otherwise process. </a:t>
          </a:r>
          <a:endParaRPr lang="en-US" sz="1000" kern="1200" dirty="0">
            <a:latin typeface="Calibri" panose="020F0502020204030204"/>
            <a:ea typeface="+mn-ea"/>
            <a:cs typeface="+mn-cs"/>
          </a:endParaRPr>
        </a:p>
      </dsp:txBody>
      <dsp:txXfrm>
        <a:off x="485110" y="470046"/>
        <a:ext cx="2014057" cy="1967186"/>
      </dsp:txXfrm>
    </dsp:sp>
    <dsp:sp modelId="{22DB1EAF-4DFC-412D-8230-E47355F01A9F}">
      <dsp:nvSpPr>
        <dsp:cNvPr id="0" name=""/>
        <dsp:cNvSpPr/>
      </dsp:nvSpPr>
      <dsp:spPr>
        <a:xfrm>
          <a:off x="3033366" y="7627"/>
          <a:ext cx="2994053" cy="2876378"/>
        </a:xfrm>
        <a:prstGeom prst="ellipse">
          <a:avLst/>
        </a:prstGeom>
        <a:solidFill>
          <a:schemeClr val="accent4"/>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dirty="0">
              <a:latin typeface="Calibri" panose="020F0502020204030204"/>
              <a:ea typeface="+mn-ea"/>
              <a:cs typeface="+mn-cs"/>
            </a:rPr>
            <a:t>How can this impact you? </a:t>
          </a:r>
        </a:p>
        <a:p>
          <a:pPr marL="0" lvl="0" indent="0" algn="ctr" defTabSz="711200">
            <a:lnSpc>
              <a:spcPct val="90000"/>
            </a:lnSpc>
            <a:spcBef>
              <a:spcPct val="0"/>
            </a:spcBef>
            <a:spcAft>
              <a:spcPct val="35000"/>
            </a:spcAft>
            <a:buNone/>
          </a:pPr>
          <a:r>
            <a:rPr lang="en-GB" sz="1200" kern="1200" dirty="0">
              <a:latin typeface="Calibri" panose="020F0502020204030204"/>
              <a:ea typeface="+mn-ea"/>
              <a:cs typeface="+mn-cs"/>
            </a:rPr>
            <a:t>The penalties for non-compliance are high. Imperial College can be fined up to 4% of annual global turnover or €20 million (whichever is greater)</a:t>
          </a:r>
          <a:endParaRPr lang="en-US" sz="1200" kern="1200" dirty="0">
            <a:latin typeface="Calibri" panose="020F0502020204030204"/>
            <a:ea typeface="+mn-ea"/>
            <a:cs typeface="+mn-cs"/>
          </a:endParaRPr>
        </a:p>
      </dsp:txBody>
      <dsp:txXfrm>
        <a:off x="3471835" y="428863"/>
        <a:ext cx="2117115" cy="2033906"/>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871FB92D92C44883156AD6C435A25E" ma:contentTypeVersion="6" ma:contentTypeDescription="Create a new document." ma:contentTypeScope="" ma:versionID="f180e2b79de347ce8fc41ee2a386b037">
  <xsd:schema xmlns:xsd="http://www.w3.org/2001/XMLSchema" xmlns:xs="http://www.w3.org/2001/XMLSchema" xmlns:p="http://schemas.microsoft.com/office/2006/metadata/properties" xmlns:ns2="cc80e40f-150e-4570-8e50-ca9ef251af5a" xmlns:ns3="b4c36a2b-b6c5-423c-b9b2-16c94f0f56cb" targetNamespace="http://schemas.microsoft.com/office/2006/metadata/properties" ma:root="true" ma:fieldsID="d429380b3da441a8123b9f89cfbe881a" ns2:_="" ns3:_="">
    <xsd:import namespace="cc80e40f-150e-4570-8e50-ca9ef251af5a"/>
    <xsd:import namespace="b4c36a2b-b6c5-423c-b9b2-16c94f0f5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0e40f-150e-4570-8e50-ca9ef251a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36a2b-b6c5-423c-b9b2-16c94f0f5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23885-8C87-4A43-BA90-C68010D2C510}">
  <ds:schemaRefs>
    <ds:schemaRef ds:uri="http://schemas.microsoft.com/sharepoint/v3/contenttype/forms"/>
  </ds:schemaRefs>
</ds:datastoreItem>
</file>

<file path=customXml/itemProps2.xml><?xml version="1.0" encoding="utf-8"?>
<ds:datastoreItem xmlns:ds="http://schemas.openxmlformats.org/officeDocument/2006/customXml" ds:itemID="{01765DB8-737E-445B-AD6F-5B4C76979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0e40f-150e-4570-8e50-ca9ef251af5a"/>
    <ds:schemaRef ds:uri="b4c36a2b-b6c5-423c-b9b2-16c94f0f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BF6F0-E911-42B0-A76C-CE2EFF8A3283}">
  <ds:schemaRefs>
    <ds:schemaRef ds:uri="http://schemas.openxmlformats.org/officeDocument/2006/bibliography"/>
  </ds:schemaRefs>
</ds:datastoreItem>
</file>

<file path=customXml/itemProps4.xml><?xml version="1.0" encoding="utf-8"?>
<ds:datastoreItem xmlns:ds="http://schemas.openxmlformats.org/officeDocument/2006/customXml" ds:itemID="{17F26B07-B394-4B6E-B4B4-28F8E6B37CB8}">
  <ds:schemaRefs>
    <ds:schemaRef ds:uri="cc80e40f-150e-4570-8e50-ca9ef251af5a"/>
    <ds:schemaRef ds:uri="b4c36a2b-b6c5-423c-b9b2-16c94f0f56cb"/>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Jarrett, Jennifer L</dc:creator>
  <cp:keywords/>
  <dc:description/>
  <cp:lastModifiedBy>Chambers, Jason C</cp:lastModifiedBy>
  <cp:revision>4</cp:revision>
  <dcterms:created xsi:type="dcterms:W3CDTF">2021-05-28T16:26:00Z</dcterms:created>
  <dcterms:modified xsi:type="dcterms:W3CDTF">2021-05-28T16:29:00Z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0x010100DE871FB92D92C44883156AD6C435A25E</vt:lpwstr>
  </property>
</Properties>
</file>