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8CF4B" w14:textId="501A4128" w:rsidR="00E91C38" w:rsidRDefault="0006454C">
      <w:pPr>
        <w:rPr>
          <w:rFonts w:ascii="Arial" w:hAnsi="Arial" w:cs="Arial"/>
          <w:b/>
          <w:sz w:val="28"/>
          <w:szCs w:val="28"/>
        </w:rPr>
      </w:pPr>
      <w:r w:rsidRPr="00A2011B">
        <w:rPr>
          <w:rFonts w:ascii="Arial" w:hAnsi="Arial" w:cs="Arial"/>
          <w:b/>
          <w:sz w:val="28"/>
          <w:szCs w:val="28"/>
        </w:rPr>
        <w:t>Guidance Note</w:t>
      </w:r>
      <w:r w:rsidR="00A2011B">
        <w:rPr>
          <w:rFonts w:ascii="Arial" w:hAnsi="Arial" w:cs="Arial"/>
          <w:b/>
          <w:sz w:val="28"/>
          <w:szCs w:val="28"/>
        </w:rPr>
        <w:t>:</w:t>
      </w:r>
      <w:r w:rsidRPr="00A2011B">
        <w:rPr>
          <w:rFonts w:ascii="Arial" w:hAnsi="Arial" w:cs="Arial"/>
          <w:b/>
          <w:sz w:val="28"/>
          <w:szCs w:val="28"/>
        </w:rPr>
        <w:t xml:space="preserve"> </w:t>
      </w:r>
      <w:r w:rsidR="00E91C38" w:rsidRPr="00A2011B">
        <w:rPr>
          <w:rFonts w:ascii="Arial" w:hAnsi="Arial" w:cs="Arial"/>
          <w:b/>
          <w:sz w:val="28"/>
          <w:szCs w:val="28"/>
        </w:rPr>
        <w:t xml:space="preserve">Safety </w:t>
      </w:r>
      <w:r w:rsidRPr="00A2011B">
        <w:rPr>
          <w:rFonts w:ascii="Arial" w:hAnsi="Arial" w:cs="Arial"/>
          <w:b/>
          <w:sz w:val="28"/>
          <w:szCs w:val="28"/>
        </w:rPr>
        <w:t>Consider</w:t>
      </w:r>
      <w:r w:rsidR="00A2011B" w:rsidRPr="00A2011B">
        <w:rPr>
          <w:rFonts w:ascii="Arial" w:hAnsi="Arial" w:cs="Arial"/>
          <w:b/>
          <w:sz w:val="28"/>
          <w:szCs w:val="28"/>
        </w:rPr>
        <w:t>ations and</w:t>
      </w:r>
      <w:r w:rsidR="00E91C38" w:rsidRPr="00A2011B">
        <w:rPr>
          <w:rFonts w:ascii="Arial" w:hAnsi="Arial" w:cs="Arial"/>
          <w:b/>
          <w:sz w:val="28"/>
          <w:szCs w:val="28"/>
        </w:rPr>
        <w:t xml:space="preserve"> Formal Procedures f</w:t>
      </w:r>
      <w:r w:rsidRPr="00A2011B">
        <w:rPr>
          <w:rFonts w:ascii="Arial" w:hAnsi="Arial" w:cs="Arial"/>
          <w:b/>
          <w:sz w:val="28"/>
          <w:szCs w:val="28"/>
        </w:rPr>
        <w:t>or Leaving Academic/Research Staff.</w:t>
      </w:r>
    </w:p>
    <w:p w14:paraId="1A428602" w14:textId="77777777" w:rsidR="00A2011B" w:rsidRPr="00A2011B" w:rsidRDefault="00A2011B">
      <w:pPr>
        <w:rPr>
          <w:rFonts w:ascii="Arial" w:hAnsi="Arial" w:cs="Arial"/>
          <w:b/>
          <w:sz w:val="28"/>
          <w:szCs w:val="28"/>
        </w:rPr>
      </w:pPr>
    </w:p>
    <w:p w14:paraId="1BD5552D" w14:textId="77777777" w:rsidR="00E91C38" w:rsidRPr="00E91C38" w:rsidRDefault="00E91C38">
      <w:pPr>
        <w:rPr>
          <w:b/>
          <w:u w:val="single"/>
        </w:rPr>
      </w:pPr>
      <w:r w:rsidRPr="00E91C38">
        <w:rPr>
          <w:b/>
          <w:u w:val="single"/>
        </w:rPr>
        <w:t>Scope</w:t>
      </w:r>
    </w:p>
    <w:p w14:paraId="1D1D2DF8" w14:textId="23C17D59" w:rsidR="00E91C38" w:rsidRDefault="00E91C38">
      <w:r>
        <w:t>These guidelines are for use when determining departmental procedures for academic and research personnel who are leaving the College.</w:t>
      </w:r>
    </w:p>
    <w:p w14:paraId="19A74D55" w14:textId="77777777" w:rsidR="00A2011B" w:rsidRDefault="00A2011B"/>
    <w:p w14:paraId="03793C0B" w14:textId="77777777" w:rsidR="00E91C38" w:rsidRPr="00E91C38" w:rsidRDefault="00E91C38">
      <w:pPr>
        <w:rPr>
          <w:b/>
          <w:u w:val="single"/>
        </w:rPr>
      </w:pPr>
      <w:r w:rsidRPr="00E91C38">
        <w:rPr>
          <w:b/>
          <w:u w:val="single"/>
        </w:rPr>
        <w:t>Areas which need to be considered</w:t>
      </w:r>
    </w:p>
    <w:p w14:paraId="5D012745" w14:textId="77777777" w:rsidR="00E91C38" w:rsidRDefault="00E91C38" w:rsidP="00E61845">
      <w:pPr>
        <w:pStyle w:val="ListParagraph"/>
        <w:numPr>
          <w:ilvl w:val="0"/>
          <w:numId w:val="1"/>
        </w:numPr>
        <w:spacing w:before="160"/>
        <w:ind w:left="714" w:hanging="357"/>
      </w:pPr>
      <w:r>
        <w:t>Transfer</w:t>
      </w:r>
      <w:r w:rsidR="004E6256">
        <w:t>/disposal</w:t>
      </w:r>
      <w:r>
        <w:t xml:space="preserve"> of substances</w:t>
      </w:r>
    </w:p>
    <w:p w14:paraId="104C6187" w14:textId="77777777" w:rsidR="00E91C38" w:rsidRDefault="00E91C38" w:rsidP="00E61845">
      <w:pPr>
        <w:pStyle w:val="ListParagraph"/>
        <w:numPr>
          <w:ilvl w:val="0"/>
          <w:numId w:val="1"/>
        </w:numPr>
        <w:spacing w:before="160"/>
        <w:ind w:left="714" w:hanging="357"/>
      </w:pPr>
      <w:r>
        <w:t>Transfer</w:t>
      </w:r>
      <w:r w:rsidR="004E6256">
        <w:t>/disposal</w:t>
      </w:r>
      <w:r>
        <w:t xml:space="preserve"> of equipment</w:t>
      </w:r>
    </w:p>
    <w:p w14:paraId="5D463B41" w14:textId="77777777" w:rsidR="00E91C38" w:rsidRDefault="00E91C38" w:rsidP="00E61845">
      <w:pPr>
        <w:pStyle w:val="ListParagraph"/>
        <w:numPr>
          <w:ilvl w:val="0"/>
          <w:numId w:val="1"/>
        </w:numPr>
        <w:spacing w:before="160"/>
        <w:ind w:left="714" w:hanging="357"/>
      </w:pPr>
      <w:r>
        <w:t>Transfer of training responsibilities</w:t>
      </w:r>
    </w:p>
    <w:p w14:paraId="6A5C03D4" w14:textId="77777777" w:rsidR="00E91C38" w:rsidRDefault="00E91C38" w:rsidP="00E61845">
      <w:pPr>
        <w:pStyle w:val="ListParagraph"/>
        <w:numPr>
          <w:ilvl w:val="0"/>
          <w:numId w:val="1"/>
        </w:numPr>
        <w:spacing w:before="160"/>
        <w:ind w:left="714" w:hanging="357"/>
      </w:pPr>
      <w:r>
        <w:t>Operational functions of the staff member leaving</w:t>
      </w:r>
    </w:p>
    <w:p w14:paraId="670BC656" w14:textId="77777777" w:rsidR="00E91C38" w:rsidRDefault="00E91C38" w:rsidP="00E61845">
      <w:pPr>
        <w:pStyle w:val="ListParagraph"/>
        <w:numPr>
          <w:ilvl w:val="0"/>
          <w:numId w:val="1"/>
        </w:numPr>
        <w:spacing w:before="160"/>
        <w:ind w:left="714" w:hanging="357"/>
      </w:pPr>
      <w:r>
        <w:t>Management of documentation</w:t>
      </w:r>
    </w:p>
    <w:p w14:paraId="49C4C7C7" w14:textId="77777777" w:rsidR="001B5AFB" w:rsidRDefault="001B5AFB" w:rsidP="00E61845">
      <w:pPr>
        <w:pStyle w:val="ListParagraph"/>
        <w:numPr>
          <w:ilvl w:val="0"/>
          <w:numId w:val="1"/>
        </w:numPr>
        <w:spacing w:before="160"/>
        <w:ind w:left="714" w:hanging="357"/>
      </w:pPr>
      <w:r>
        <w:t>Access</w:t>
      </w:r>
    </w:p>
    <w:p w14:paraId="424E7EA3" w14:textId="77777777" w:rsidR="00A2011B" w:rsidRDefault="00A2011B" w:rsidP="00A2011B">
      <w:pPr>
        <w:pStyle w:val="ListParagraph"/>
        <w:spacing w:before="160"/>
        <w:ind w:left="714"/>
      </w:pPr>
    </w:p>
    <w:p w14:paraId="7C90CD7C" w14:textId="77777777" w:rsidR="00E91C38" w:rsidRPr="00A2011B" w:rsidRDefault="00E91C38" w:rsidP="00E91C38">
      <w:pPr>
        <w:rPr>
          <w:b/>
          <w:u w:val="single"/>
        </w:rPr>
      </w:pPr>
      <w:r w:rsidRPr="00A2011B">
        <w:rPr>
          <w:b/>
          <w:u w:val="single"/>
        </w:rPr>
        <w:t>Transfer</w:t>
      </w:r>
      <w:r w:rsidR="002C6023" w:rsidRPr="00A2011B">
        <w:rPr>
          <w:b/>
          <w:u w:val="single"/>
        </w:rPr>
        <w:t>/Disposal</w:t>
      </w:r>
      <w:r w:rsidRPr="00A2011B">
        <w:rPr>
          <w:b/>
          <w:u w:val="single"/>
        </w:rPr>
        <w:t xml:space="preserve"> of Substances</w:t>
      </w:r>
    </w:p>
    <w:p w14:paraId="5A27F8AB" w14:textId="77777777" w:rsidR="00E763E2" w:rsidRPr="00A2011B" w:rsidRDefault="00E763E2" w:rsidP="00E91C38">
      <w:pPr>
        <w:rPr>
          <w:b/>
        </w:rPr>
      </w:pPr>
      <w:r w:rsidRPr="00A2011B">
        <w:rPr>
          <w:b/>
        </w:rPr>
        <w:t>For the purposes of this GN substances are categorised as follows:</w:t>
      </w:r>
    </w:p>
    <w:p w14:paraId="4A7BA43E" w14:textId="77777777" w:rsidR="00E763E2" w:rsidRDefault="00E763E2" w:rsidP="004C3452">
      <w:pPr>
        <w:pStyle w:val="ListParagraph"/>
        <w:numPr>
          <w:ilvl w:val="0"/>
          <w:numId w:val="10"/>
        </w:numPr>
      </w:pPr>
      <w:r>
        <w:t>Chemicals</w:t>
      </w:r>
    </w:p>
    <w:p w14:paraId="0458BC7D" w14:textId="77777777" w:rsidR="007F03C4" w:rsidRDefault="007F03C4" w:rsidP="004C3452">
      <w:pPr>
        <w:pStyle w:val="ListParagraph"/>
        <w:numPr>
          <w:ilvl w:val="1"/>
          <w:numId w:val="10"/>
        </w:numPr>
      </w:pPr>
      <w:r>
        <w:t>Laboratory chemicals</w:t>
      </w:r>
    </w:p>
    <w:p w14:paraId="5B43B258" w14:textId="77777777" w:rsidR="00E763E2" w:rsidRDefault="00E763E2" w:rsidP="004C3452">
      <w:pPr>
        <w:pStyle w:val="ListParagraph"/>
        <w:numPr>
          <w:ilvl w:val="1"/>
          <w:numId w:val="10"/>
        </w:numPr>
      </w:pPr>
      <w:r>
        <w:t>Controlled drugs</w:t>
      </w:r>
    </w:p>
    <w:p w14:paraId="4F1DB6E1" w14:textId="77777777" w:rsidR="00FC0331" w:rsidRDefault="00E763E2" w:rsidP="004C3452">
      <w:pPr>
        <w:pStyle w:val="ListParagraph"/>
        <w:numPr>
          <w:ilvl w:val="1"/>
          <w:numId w:val="10"/>
        </w:numPr>
      </w:pPr>
      <w:r>
        <w:t>Licence</w:t>
      </w:r>
      <w:r w:rsidR="0018574B">
        <w:t>-</w:t>
      </w:r>
      <w:r>
        <w:t>dependent</w:t>
      </w:r>
      <w:r w:rsidR="00FC0331">
        <w:t xml:space="preserve"> alcohols</w:t>
      </w:r>
    </w:p>
    <w:p w14:paraId="41FDB892" w14:textId="77777777" w:rsidR="00E763E2" w:rsidRDefault="00E763E2" w:rsidP="004C3452">
      <w:pPr>
        <w:pStyle w:val="ListParagraph"/>
        <w:numPr>
          <w:ilvl w:val="0"/>
          <w:numId w:val="10"/>
        </w:numPr>
      </w:pPr>
      <w:r>
        <w:t>Biological</w:t>
      </w:r>
    </w:p>
    <w:p w14:paraId="3D9E82EB" w14:textId="77777777" w:rsidR="00FC0331" w:rsidRDefault="00FC0331" w:rsidP="004C3452">
      <w:pPr>
        <w:pStyle w:val="ListParagraph"/>
        <w:numPr>
          <w:ilvl w:val="1"/>
          <w:numId w:val="10"/>
        </w:numPr>
      </w:pPr>
      <w:r>
        <w:t>Human</w:t>
      </w:r>
    </w:p>
    <w:p w14:paraId="05114EF6" w14:textId="77777777" w:rsidR="00FC0331" w:rsidRDefault="00FC0331" w:rsidP="004C3452">
      <w:pPr>
        <w:pStyle w:val="ListParagraph"/>
        <w:numPr>
          <w:ilvl w:val="1"/>
          <w:numId w:val="10"/>
        </w:numPr>
      </w:pPr>
      <w:r>
        <w:t>Animal</w:t>
      </w:r>
    </w:p>
    <w:p w14:paraId="040EE1D4" w14:textId="77777777" w:rsidR="00FC0331" w:rsidRDefault="00FC0331" w:rsidP="004C3452">
      <w:pPr>
        <w:pStyle w:val="ListParagraph"/>
        <w:numPr>
          <w:ilvl w:val="2"/>
          <w:numId w:val="10"/>
        </w:numPr>
      </w:pPr>
      <w:r>
        <w:t>Vertebrate</w:t>
      </w:r>
    </w:p>
    <w:p w14:paraId="49FA26CE" w14:textId="77777777" w:rsidR="00FC0331" w:rsidRDefault="00FC0331" w:rsidP="004C3452">
      <w:pPr>
        <w:pStyle w:val="ListParagraph"/>
        <w:numPr>
          <w:ilvl w:val="2"/>
          <w:numId w:val="10"/>
        </w:numPr>
      </w:pPr>
      <w:r>
        <w:t>Invertebrate</w:t>
      </w:r>
    </w:p>
    <w:p w14:paraId="1CAF8DCC" w14:textId="77777777" w:rsidR="00FC0331" w:rsidRDefault="00FC0331" w:rsidP="004C3452">
      <w:pPr>
        <w:pStyle w:val="ListParagraph"/>
        <w:numPr>
          <w:ilvl w:val="1"/>
          <w:numId w:val="10"/>
        </w:numPr>
      </w:pPr>
      <w:r>
        <w:t>Plant</w:t>
      </w:r>
    </w:p>
    <w:p w14:paraId="15DF803D" w14:textId="77777777" w:rsidR="00FC0331" w:rsidRDefault="00FC0331" w:rsidP="004C3452">
      <w:pPr>
        <w:pStyle w:val="ListParagraph"/>
        <w:numPr>
          <w:ilvl w:val="1"/>
          <w:numId w:val="10"/>
        </w:numPr>
      </w:pPr>
      <w:r>
        <w:t>GM</w:t>
      </w:r>
    </w:p>
    <w:p w14:paraId="3A474F52" w14:textId="77777777" w:rsidR="00E763E2" w:rsidRDefault="00E763E2" w:rsidP="004C3452">
      <w:pPr>
        <w:pStyle w:val="ListParagraph"/>
        <w:numPr>
          <w:ilvl w:val="0"/>
          <w:numId w:val="10"/>
        </w:numPr>
      </w:pPr>
      <w:r>
        <w:t>Radiological</w:t>
      </w:r>
      <w:r w:rsidR="0018574B">
        <w:t xml:space="preserve"> – ionising radiation</w:t>
      </w:r>
    </w:p>
    <w:p w14:paraId="5CBAC83E" w14:textId="77777777" w:rsidR="00FC0331" w:rsidRDefault="00FC0331" w:rsidP="004C3452">
      <w:pPr>
        <w:pStyle w:val="ListParagraph"/>
        <w:numPr>
          <w:ilvl w:val="1"/>
          <w:numId w:val="10"/>
        </w:numPr>
      </w:pPr>
      <w:r>
        <w:t>Open sources</w:t>
      </w:r>
    </w:p>
    <w:p w14:paraId="04A0C8FF" w14:textId="77777777" w:rsidR="005201E7" w:rsidRDefault="00FC0331" w:rsidP="004C3452">
      <w:pPr>
        <w:pStyle w:val="ListParagraph"/>
        <w:numPr>
          <w:ilvl w:val="1"/>
          <w:numId w:val="10"/>
        </w:numPr>
      </w:pPr>
      <w:r>
        <w:t>Closed sources</w:t>
      </w:r>
    </w:p>
    <w:p w14:paraId="274B8347" w14:textId="77777777" w:rsidR="0018574B" w:rsidRDefault="0018574B" w:rsidP="004C3452">
      <w:pPr>
        <w:pStyle w:val="ListParagraph"/>
        <w:numPr>
          <w:ilvl w:val="1"/>
          <w:numId w:val="10"/>
        </w:numPr>
      </w:pPr>
      <w:r>
        <w:t xml:space="preserve">X-rays </w:t>
      </w:r>
    </w:p>
    <w:p w14:paraId="16F80DD1" w14:textId="77777777" w:rsidR="005201E7" w:rsidRDefault="005201E7" w:rsidP="004C3452">
      <w:pPr>
        <w:pStyle w:val="ListParagraph"/>
        <w:numPr>
          <w:ilvl w:val="0"/>
          <w:numId w:val="10"/>
        </w:numPr>
      </w:pPr>
      <w:r>
        <w:t>A</w:t>
      </w:r>
      <w:r w:rsidR="0018574B">
        <w:t xml:space="preserve">rtificial </w:t>
      </w:r>
      <w:r>
        <w:t>O</w:t>
      </w:r>
      <w:r w:rsidR="0018574B">
        <w:t xml:space="preserve">ptical </w:t>
      </w:r>
      <w:r>
        <w:t>R</w:t>
      </w:r>
      <w:r w:rsidR="0018574B">
        <w:t>adiation</w:t>
      </w:r>
    </w:p>
    <w:p w14:paraId="4536C84B" w14:textId="77777777" w:rsidR="0018574B" w:rsidRDefault="0018574B" w:rsidP="004C3452">
      <w:pPr>
        <w:pStyle w:val="ListParagraph"/>
        <w:numPr>
          <w:ilvl w:val="1"/>
          <w:numId w:val="10"/>
        </w:numPr>
      </w:pPr>
      <w:r>
        <w:t>Ultraviolet/infrared</w:t>
      </w:r>
    </w:p>
    <w:p w14:paraId="61AEB604" w14:textId="77777777" w:rsidR="0018574B" w:rsidRDefault="0018574B" w:rsidP="004C3452">
      <w:pPr>
        <w:pStyle w:val="ListParagraph"/>
        <w:numPr>
          <w:ilvl w:val="1"/>
          <w:numId w:val="10"/>
        </w:numPr>
      </w:pPr>
      <w:r>
        <w:t>Lasers</w:t>
      </w:r>
    </w:p>
    <w:p w14:paraId="0689B051" w14:textId="77777777" w:rsidR="0018574B" w:rsidRDefault="0018574B" w:rsidP="004C3452">
      <w:pPr>
        <w:pStyle w:val="ListParagraph"/>
        <w:numPr>
          <w:ilvl w:val="1"/>
          <w:numId w:val="10"/>
        </w:numPr>
      </w:pPr>
      <w:r>
        <w:t>Electromagnetic fields</w:t>
      </w:r>
    </w:p>
    <w:p w14:paraId="6B3DC660" w14:textId="77777777" w:rsidR="005201E7" w:rsidRDefault="00E763E2" w:rsidP="004C3452">
      <w:pPr>
        <w:pStyle w:val="ListParagraph"/>
        <w:numPr>
          <w:ilvl w:val="0"/>
          <w:numId w:val="10"/>
        </w:numPr>
      </w:pPr>
      <w:r>
        <w:t>Gases</w:t>
      </w:r>
      <w:r w:rsidR="0018574B">
        <w:t>/Cryogenics</w:t>
      </w:r>
    </w:p>
    <w:p w14:paraId="3BF03E7F" w14:textId="77777777" w:rsidR="0018574B" w:rsidRDefault="0018574B" w:rsidP="004C3452">
      <w:pPr>
        <w:pStyle w:val="ListParagraph"/>
        <w:numPr>
          <w:ilvl w:val="1"/>
          <w:numId w:val="10"/>
        </w:numPr>
      </w:pPr>
      <w:r>
        <w:t>Manifolds</w:t>
      </w:r>
    </w:p>
    <w:p w14:paraId="0A9A5E17" w14:textId="77777777" w:rsidR="0018574B" w:rsidRDefault="0018574B" w:rsidP="004C3452">
      <w:pPr>
        <w:pStyle w:val="ListParagraph"/>
        <w:numPr>
          <w:ilvl w:val="1"/>
          <w:numId w:val="10"/>
        </w:numPr>
      </w:pPr>
      <w:r>
        <w:t>Cylinders</w:t>
      </w:r>
    </w:p>
    <w:p w14:paraId="5F184490" w14:textId="77777777" w:rsidR="00E763E2" w:rsidRDefault="00E763E2" w:rsidP="004C3452">
      <w:pPr>
        <w:pStyle w:val="ListParagraph"/>
        <w:numPr>
          <w:ilvl w:val="0"/>
          <w:numId w:val="10"/>
        </w:numPr>
      </w:pPr>
      <w:r>
        <w:t>Other</w:t>
      </w:r>
    </w:p>
    <w:p w14:paraId="410B2898" w14:textId="439FA428" w:rsidR="0018574B" w:rsidRDefault="000A0111" w:rsidP="004C3452">
      <w:pPr>
        <w:pStyle w:val="ListParagraph"/>
        <w:numPr>
          <w:ilvl w:val="1"/>
          <w:numId w:val="10"/>
        </w:numPr>
      </w:pPr>
      <w:r>
        <w:t>E.g. s</w:t>
      </w:r>
      <w:r w:rsidR="0018574B">
        <w:t>oil samples</w:t>
      </w:r>
    </w:p>
    <w:p w14:paraId="642138B7" w14:textId="77777777" w:rsidR="00E763E2" w:rsidRDefault="00E763E2" w:rsidP="004C3452">
      <w:pPr>
        <w:pStyle w:val="ListParagraph"/>
      </w:pPr>
    </w:p>
    <w:p w14:paraId="63DB4FCC" w14:textId="0792B94E" w:rsidR="007F03C4" w:rsidRDefault="00E91C38" w:rsidP="00532982">
      <w:pPr>
        <w:pStyle w:val="ListParagraph"/>
        <w:numPr>
          <w:ilvl w:val="0"/>
          <w:numId w:val="2"/>
        </w:numPr>
      </w:pPr>
      <w:r>
        <w:lastRenderedPageBreak/>
        <w:t>General stocks of chemicals should be</w:t>
      </w:r>
      <w:r w:rsidR="007F03C4">
        <w:t>:</w:t>
      </w:r>
    </w:p>
    <w:p w14:paraId="6F913B45" w14:textId="38862B80" w:rsidR="007F03C4" w:rsidRDefault="00E91C38" w:rsidP="00287635">
      <w:pPr>
        <w:pStyle w:val="ListParagraph"/>
        <w:numPr>
          <w:ilvl w:val="1"/>
          <w:numId w:val="2"/>
        </w:numPr>
        <w:ind w:left="1418" w:hanging="284"/>
      </w:pPr>
      <w:r>
        <w:t>transferred to someone still in employment at the College</w:t>
      </w:r>
    </w:p>
    <w:p w14:paraId="319BB111" w14:textId="6A92F4CA" w:rsidR="007F03C4" w:rsidRDefault="00E91C38" w:rsidP="00287635">
      <w:pPr>
        <w:pStyle w:val="ListParagraph"/>
        <w:numPr>
          <w:ilvl w:val="1"/>
          <w:numId w:val="2"/>
        </w:numPr>
        <w:ind w:left="1418" w:hanging="284"/>
      </w:pPr>
      <w:r>
        <w:t xml:space="preserve">disposed of in the appropriate manner, or </w:t>
      </w:r>
    </w:p>
    <w:p w14:paraId="3CE49B57" w14:textId="77777777" w:rsidR="007F03C4" w:rsidRDefault="00E91C38" w:rsidP="00287635">
      <w:pPr>
        <w:pStyle w:val="ListParagraph"/>
        <w:numPr>
          <w:ilvl w:val="1"/>
          <w:numId w:val="2"/>
        </w:numPr>
        <w:ind w:left="1418" w:hanging="284"/>
      </w:pPr>
      <w:proofErr w:type="gramStart"/>
      <w:r>
        <w:t>taken</w:t>
      </w:r>
      <w:proofErr w:type="gramEnd"/>
      <w:r>
        <w:t xml:space="preserve"> to the new place of employment.</w:t>
      </w:r>
      <w:r w:rsidRPr="00E91C38">
        <w:t xml:space="preserve"> </w:t>
      </w:r>
    </w:p>
    <w:p w14:paraId="29281AFE" w14:textId="77777777" w:rsidR="007F03C4" w:rsidRDefault="007F03C4" w:rsidP="004C3452">
      <w:pPr>
        <w:pStyle w:val="ListParagraph"/>
        <w:ind w:left="1440"/>
      </w:pPr>
    </w:p>
    <w:p w14:paraId="02A05992" w14:textId="301A47E9" w:rsidR="00E91C38" w:rsidRDefault="00E91C38" w:rsidP="00E61845">
      <w:pPr>
        <w:pStyle w:val="ListParagraph"/>
        <w:spacing w:before="320" w:after="320"/>
        <w:ind w:left="709"/>
      </w:pPr>
      <w:r>
        <w:t>When transferring ownership to another employee, the new owner must be fully versed in the correct storage</w:t>
      </w:r>
      <w:r w:rsidR="007F03C4">
        <w:t xml:space="preserve">, </w:t>
      </w:r>
      <w:r>
        <w:t>safe usage</w:t>
      </w:r>
      <w:r w:rsidR="007F03C4">
        <w:t xml:space="preserve"> and appropriate disposal</w:t>
      </w:r>
      <w:r>
        <w:t xml:space="preserve"> of any substances</w:t>
      </w:r>
      <w:r w:rsidR="004E6256">
        <w:t>, including any emergency procedures</w:t>
      </w:r>
      <w:r>
        <w:t>. If the individual wishes to take the material with them, they must ensure that the carriage of the substances is in accordance with the relevant legislation, such as ADR.</w:t>
      </w:r>
    </w:p>
    <w:p w14:paraId="585D0C01" w14:textId="77777777" w:rsidR="00A2011B" w:rsidRDefault="00A2011B" w:rsidP="00E61845">
      <w:pPr>
        <w:pStyle w:val="ListParagraph"/>
        <w:spacing w:before="320" w:after="320"/>
        <w:ind w:left="709"/>
      </w:pPr>
    </w:p>
    <w:p w14:paraId="5C98DA9A" w14:textId="77777777" w:rsidR="0018574B" w:rsidRDefault="007F03C4" w:rsidP="00E61845">
      <w:pPr>
        <w:pStyle w:val="ListParagraph"/>
        <w:numPr>
          <w:ilvl w:val="0"/>
          <w:numId w:val="2"/>
        </w:numPr>
        <w:spacing w:before="320" w:after="320"/>
      </w:pPr>
      <w:r>
        <w:t>Controlled drugs managed under a Home Office licence: all written procedures for management and disposal of these substances should be changed to reflect the impact of the person leaving. If the person has a responsibility on the licence, the Home Office should be contacted and the licence amended as appropriate. If local responsibility, an alternative candidate should be named and trained appropriately.</w:t>
      </w:r>
    </w:p>
    <w:p w14:paraId="04A26593" w14:textId="77777777" w:rsidR="00A2011B" w:rsidRDefault="00A2011B" w:rsidP="00A2011B">
      <w:pPr>
        <w:pStyle w:val="ListParagraph"/>
        <w:spacing w:before="320" w:after="320"/>
      </w:pPr>
    </w:p>
    <w:p w14:paraId="6F07385C" w14:textId="77777777" w:rsidR="007F03C4" w:rsidRDefault="007F03C4" w:rsidP="00532982">
      <w:pPr>
        <w:pStyle w:val="ListParagraph"/>
        <w:numPr>
          <w:ilvl w:val="0"/>
          <w:numId w:val="2"/>
        </w:numPr>
      </w:pPr>
      <w:r>
        <w:t>Ethanol</w:t>
      </w:r>
      <w:r w:rsidR="00342630">
        <w:t xml:space="preserve"> (</w:t>
      </w:r>
      <w:proofErr w:type="spellStart"/>
      <w:r w:rsidR="00342630">
        <w:t>EtOH</w:t>
      </w:r>
      <w:proofErr w:type="spellEnd"/>
      <w:r w:rsidR="00342630">
        <w:t>)</w:t>
      </w:r>
      <w:r>
        <w:t xml:space="preserve"> or </w:t>
      </w:r>
      <w:r w:rsidR="00342630">
        <w:t>Industrial Denatured Alcohol (IDA) – if the leaver has any responsibility for record keeping relating to these substances, this should be transferred to an alternative person.</w:t>
      </w:r>
    </w:p>
    <w:p w14:paraId="651F5865" w14:textId="77777777" w:rsidR="00A2011B" w:rsidRDefault="00A2011B" w:rsidP="00A2011B">
      <w:pPr>
        <w:pStyle w:val="ListParagraph"/>
      </w:pPr>
    </w:p>
    <w:p w14:paraId="030A2048" w14:textId="6ACA8DF5" w:rsidR="00342630" w:rsidRDefault="00342630" w:rsidP="00532982">
      <w:pPr>
        <w:pStyle w:val="ListParagraph"/>
        <w:numPr>
          <w:ilvl w:val="0"/>
          <w:numId w:val="2"/>
        </w:numPr>
      </w:pPr>
      <w:r>
        <w:t>In all cases if there is a related risk assessment for any of the substances, the appropriate review should be ca</w:t>
      </w:r>
      <w:r w:rsidR="00A2011B">
        <w:t>rried out within the Department.</w:t>
      </w:r>
    </w:p>
    <w:p w14:paraId="54195479" w14:textId="77777777" w:rsidR="00A2011B" w:rsidRDefault="00A2011B" w:rsidP="00A2011B">
      <w:pPr>
        <w:pStyle w:val="ListParagraph"/>
      </w:pPr>
    </w:p>
    <w:p w14:paraId="36850B33" w14:textId="77777777" w:rsidR="00532982" w:rsidRDefault="00E91C38" w:rsidP="00532982">
      <w:pPr>
        <w:pStyle w:val="ListParagraph"/>
        <w:numPr>
          <w:ilvl w:val="0"/>
          <w:numId w:val="2"/>
        </w:numPr>
      </w:pPr>
      <w:r>
        <w:t xml:space="preserve">If a substance is a biological material </w:t>
      </w:r>
      <w:r w:rsidR="00532982">
        <w:t>then in addition to the above;</w:t>
      </w:r>
      <w:r>
        <w:t xml:space="preserve"> if the material is transferred to someone else in the employment of the College, th</w:t>
      </w:r>
      <w:r w:rsidR="00532982">
        <w:t>en the new owner must ensure the Bio1 form and RADAR entry for the activity are updated.</w:t>
      </w:r>
      <w:r w:rsidR="00221E9D">
        <w:t xml:space="preserve"> If addition</w:t>
      </w:r>
      <w:r w:rsidR="00532982">
        <w:t>:</w:t>
      </w:r>
    </w:p>
    <w:p w14:paraId="290B8157" w14:textId="77777777" w:rsidR="00E91C38" w:rsidRDefault="00532982" w:rsidP="00287635">
      <w:pPr>
        <w:pStyle w:val="ListParagraph"/>
        <w:numPr>
          <w:ilvl w:val="0"/>
          <w:numId w:val="3"/>
        </w:numPr>
        <w:spacing w:before="100" w:afterLines="200" w:after="480"/>
        <w:ind w:left="1560" w:hanging="426"/>
      </w:pPr>
      <w:r>
        <w:t xml:space="preserve">For GM material </w:t>
      </w:r>
      <w:r w:rsidR="00221E9D">
        <w:t xml:space="preserve">being transferred to a new location </w:t>
      </w:r>
      <w:r>
        <w:t xml:space="preserve">the Safety Department must be notified prior to the move so they can liaise with HSE. This can be done by completing and forwarding </w:t>
      </w:r>
      <w:hyperlink r:id="rId8" w:history="1">
        <w:r w:rsidRPr="00532982">
          <w:rPr>
            <w:rStyle w:val="Hyperlink"/>
          </w:rPr>
          <w:t>Form E</w:t>
        </w:r>
      </w:hyperlink>
      <w:r>
        <w:t>.</w:t>
      </w:r>
    </w:p>
    <w:p w14:paraId="396DC0F8" w14:textId="77777777" w:rsidR="004E6256" w:rsidRDefault="00532982" w:rsidP="00287635">
      <w:pPr>
        <w:pStyle w:val="ListParagraph"/>
        <w:numPr>
          <w:ilvl w:val="0"/>
          <w:numId w:val="3"/>
        </w:numPr>
        <w:spacing w:before="100" w:afterLines="200" w:after="480"/>
        <w:ind w:left="1560" w:hanging="426"/>
      </w:pPr>
      <w:r>
        <w:t>For anything on Schedule 5 of the Anti-Terrorism Crime and Security Act</w:t>
      </w:r>
      <w:r w:rsidR="00221E9D">
        <w:t xml:space="preserve"> which is changing location</w:t>
      </w:r>
      <w:r>
        <w:t xml:space="preserve">, the Safety Department must be notified so they can liaise with the Home Office. This can be done by completing and forwarding </w:t>
      </w:r>
      <w:hyperlink r:id="rId9" w:history="1">
        <w:r w:rsidRPr="004E6256">
          <w:rPr>
            <w:rStyle w:val="Hyperlink"/>
          </w:rPr>
          <w:t>Form E</w:t>
        </w:r>
      </w:hyperlink>
      <w:r>
        <w:t>.</w:t>
      </w:r>
    </w:p>
    <w:p w14:paraId="4290C62E" w14:textId="77777777" w:rsidR="00221E9D" w:rsidRDefault="00221E9D" w:rsidP="00A2011B">
      <w:pPr>
        <w:pStyle w:val="ListParagraph"/>
        <w:numPr>
          <w:ilvl w:val="0"/>
          <w:numId w:val="3"/>
        </w:numPr>
        <w:spacing w:before="100" w:after="0" w:line="240" w:lineRule="auto"/>
        <w:ind w:left="1559" w:hanging="425"/>
        <w:contextualSpacing w:val="0"/>
        <w:rPr>
          <w:color w:val="000000"/>
        </w:rPr>
      </w:pPr>
      <w:r>
        <w:rPr>
          <w:color w:val="000000"/>
        </w:rPr>
        <w:t>Any Plant Health Licensed Materials notified to APHA by any PI departing from ICL employment must be either removed from college premises, destroyed, or formally handed to another PI with access to the facilities required by the license conditions to contain the material.</w:t>
      </w:r>
    </w:p>
    <w:p w14:paraId="470FB59E" w14:textId="77777777" w:rsidR="00221E9D" w:rsidRDefault="00221E9D" w:rsidP="00A2011B">
      <w:pPr>
        <w:pStyle w:val="ListParagraph"/>
        <w:spacing w:before="100" w:after="0" w:line="240" w:lineRule="auto"/>
        <w:ind w:left="1559"/>
        <w:contextualSpacing w:val="0"/>
        <w:rPr>
          <w:color w:val="000000"/>
        </w:rPr>
      </w:pPr>
      <w:r>
        <w:rPr>
          <w:color w:val="000000"/>
        </w:rPr>
        <w:t xml:space="preserve">APHA must be notified in advance via the </w:t>
      </w:r>
      <w:proofErr w:type="spellStart"/>
      <w:r>
        <w:rPr>
          <w:color w:val="000000"/>
        </w:rPr>
        <w:t>eDomero</w:t>
      </w:r>
      <w:proofErr w:type="spellEnd"/>
      <w:r>
        <w:rPr>
          <w:color w:val="000000"/>
        </w:rPr>
        <w:t xml:space="preserve"> system of any changes to the license conditions which include transfer of material to new premises, cessation of the project or transfer to a new PI.</w:t>
      </w:r>
    </w:p>
    <w:p w14:paraId="40B73F3F" w14:textId="77777777" w:rsidR="00221E9D" w:rsidRPr="00221E9D" w:rsidRDefault="00221E9D" w:rsidP="00287635">
      <w:pPr>
        <w:pStyle w:val="ListParagraph"/>
        <w:spacing w:before="100" w:after="0" w:line="240" w:lineRule="auto"/>
        <w:ind w:left="1560"/>
        <w:contextualSpacing w:val="0"/>
        <w:rPr>
          <w:color w:val="000000"/>
        </w:rPr>
      </w:pPr>
      <w:r>
        <w:rPr>
          <w:color w:val="000000"/>
        </w:rPr>
        <w:t xml:space="preserve">If material is being transferred to new premises the recipients must be made aware in advance so that they can notify APHA. </w:t>
      </w:r>
      <w:r w:rsidRPr="00221E9D">
        <w:rPr>
          <w:color w:val="000000"/>
        </w:rPr>
        <w:t xml:space="preserve">A </w:t>
      </w:r>
      <w:hyperlink r:id="rId10" w:history="1">
        <w:r>
          <w:rPr>
            <w:rStyle w:val="Hyperlink"/>
          </w:rPr>
          <w:t>F</w:t>
        </w:r>
        <w:r w:rsidRPr="00221E9D">
          <w:rPr>
            <w:rStyle w:val="Hyperlink"/>
          </w:rPr>
          <w:t>orm E</w:t>
        </w:r>
      </w:hyperlink>
      <w:r w:rsidRPr="00221E9D">
        <w:rPr>
          <w:color w:val="000000"/>
        </w:rPr>
        <w:t xml:space="preserve"> must be completed notifying the Safety Department of the cessation or transfer of the project.  </w:t>
      </w:r>
    </w:p>
    <w:p w14:paraId="51022D5A" w14:textId="77777777" w:rsidR="00A6415D" w:rsidRDefault="00A6415D" w:rsidP="00A2011B">
      <w:pPr>
        <w:pStyle w:val="ListParagraph"/>
        <w:numPr>
          <w:ilvl w:val="0"/>
          <w:numId w:val="3"/>
        </w:numPr>
        <w:spacing w:before="100" w:after="100"/>
        <w:ind w:left="1560" w:hanging="426"/>
      </w:pPr>
      <w:r>
        <w:t>All research laboratory animals, GM and Non GM (including those not requiring a home office licence e.g. insects) owned by the PI departing from ICL employment must be either removed from college premises, culled or formally handed to another PI with access to facilities required to hold the animals.</w:t>
      </w:r>
    </w:p>
    <w:p w14:paraId="5B92AAE3" w14:textId="77777777" w:rsidR="00A6415D" w:rsidRDefault="00A6415D" w:rsidP="00A2011B">
      <w:pPr>
        <w:pStyle w:val="ListParagraph"/>
        <w:spacing w:before="100" w:after="100"/>
        <w:ind w:left="1559"/>
      </w:pPr>
      <w:r>
        <w:lastRenderedPageBreak/>
        <w:t>Where animals are held on CBS premises or are monitored, or managed by CBS the local CBS manager must be informed of the owning PI’s intentions regarding any animals in their care once they depart ICL.</w:t>
      </w:r>
    </w:p>
    <w:p w14:paraId="24B2B476" w14:textId="77777777" w:rsidR="00A6415D" w:rsidRDefault="00A6415D" w:rsidP="00A2011B">
      <w:pPr>
        <w:pStyle w:val="ListParagraph"/>
        <w:spacing w:before="100" w:after="100"/>
        <w:ind w:left="1560"/>
      </w:pPr>
      <w:r>
        <w:t xml:space="preserve">A </w:t>
      </w:r>
      <w:hyperlink r:id="rId11" w:history="1">
        <w:r>
          <w:rPr>
            <w:rStyle w:val="Hyperlink"/>
          </w:rPr>
          <w:t>F</w:t>
        </w:r>
        <w:r w:rsidRPr="00221E9D">
          <w:rPr>
            <w:rStyle w:val="Hyperlink"/>
          </w:rPr>
          <w:t>orm E</w:t>
        </w:r>
      </w:hyperlink>
      <w:r>
        <w:t xml:space="preserve"> must be completed notifying the Safety Department of the cessation or transfer of any project related to the animal work. </w:t>
      </w:r>
    </w:p>
    <w:p w14:paraId="77D944B5" w14:textId="77777777" w:rsidR="00CD055C" w:rsidRDefault="00A6415D" w:rsidP="00287635">
      <w:pPr>
        <w:pStyle w:val="ListParagraph"/>
        <w:spacing w:before="100" w:afterLines="200" w:after="480"/>
        <w:ind w:left="1560"/>
      </w:pPr>
      <w:r>
        <w:t>The relevant risk assessments and RADAR must be updated with any changes.</w:t>
      </w:r>
    </w:p>
    <w:p w14:paraId="76C1DF37" w14:textId="15F4482B" w:rsidR="004E6256" w:rsidRDefault="00CD055C" w:rsidP="00287635">
      <w:pPr>
        <w:pStyle w:val="ListParagraph"/>
        <w:spacing w:before="200" w:after="200"/>
        <w:ind w:left="709"/>
      </w:pPr>
      <w:r>
        <w:t>Full records detailing storage location, amounts and any other supporting documentation must be passed on to the department before the leaver is signed off.</w:t>
      </w:r>
    </w:p>
    <w:p w14:paraId="77B4CE56" w14:textId="77777777" w:rsidR="00A2011B" w:rsidRDefault="00A2011B" w:rsidP="00287635">
      <w:pPr>
        <w:pStyle w:val="ListParagraph"/>
        <w:spacing w:before="200" w:after="200"/>
        <w:ind w:left="709"/>
      </w:pPr>
    </w:p>
    <w:p w14:paraId="5A6193D1" w14:textId="74EC3228" w:rsidR="00637499" w:rsidRDefault="00532982" w:rsidP="00A2011B">
      <w:pPr>
        <w:pStyle w:val="ListParagraph"/>
        <w:numPr>
          <w:ilvl w:val="0"/>
          <w:numId w:val="2"/>
        </w:numPr>
        <w:spacing w:before="200" w:after="200"/>
      </w:pPr>
      <w:r>
        <w:t>If a substance is a radioisotope</w:t>
      </w:r>
      <w:r w:rsidR="00E028AB">
        <w:t>,</w:t>
      </w:r>
      <w:r>
        <w:t xml:space="preserve"> then in addition to the requirements in (</w:t>
      </w:r>
      <w:r w:rsidR="000A0111">
        <w:t>1</w:t>
      </w:r>
      <w:r>
        <w:t>); if the material is transferred to someone else in the employment of the College</w:t>
      </w:r>
      <w:r w:rsidR="00922BB0">
        <w:t>, or to a different site,</w:t>
      </w:r>
      <w:r>
        <w:t xml:space="preserve"> then they must notify the RPO of the change of ownership during the monthly return.</w:t>
      </w:r>
    </w:p>
    <w:p w14:paraId="6C709E60" w14:textId="77777777" w:rsidR="002C6023" w:rsidRDefault="002C6023" w:rsidP="002C6023">
      <w:pPr>
        <w:rPr>
          <w:b/>
          <w:u w:val="single"/>
        </w:rPr>
      </w:pPr>
      <w:r w:rsidRPr="002C6023">
        <w:rPr>
          <w:b/>
          <w:u w:val="single"/>
        </w:rPr>
        <w:t>Transfer/Disposal of Equipment</w:t>
      </w:r>
    </w:p>
    <w:p w14:paraId="59833343" w14:textId="288DB02D" w:rsidR="0072512B" w:rsidRDefault="002C6023" w:rsidP="002C6023">
      <w:pPr>
        <w:pStyle w:val="ListParagraph"/>
        <w:numPr>
          <w:ilvl w:val="0"/>
          <w:numId w:val="2"/>
        </w:numPr>
      </w:pPr>
      <w:r>
        <w:t>As with substances, the three routes that can be taken with equipment are</w:t>
      </w:r>
      <w:r w:rsidR="0072512B">
        <w:t xml:space="preserve">: </w:t>
      </w:r>
    </w:p>
    <w:p w14:paraId="3F69E2EA" w14:textId="77777777" w:rsidR="0072512B" w:rsidRDefault="002C6023" w:rsidP="00287635">
      <w:pPr>
        <w:pStyle w:val="ListParagraph"/>
        <w:numPr>
          <w:ilvl w:val="0"/>
          <w:numId w:val="3"/>
        </w:numPr>
        <w:ind w:left="1560" w:hanging="426"/>
      </w:pPr>
      <w:r>
        <w:t>transferral to someone still in the employment of the College</w:t>
      </w:r>
    </w:p>
    <w:p w14:paraId="29906A10" w14:textId="1938AB3E" w:rsidR="0072512B" w:rsidRDefault="002C6023" w:rsidP="00287635">
      <w:pPr>
        <w:pStyle w:val="ListParagraph"/>
        <w:numPr>
          <w:ilvl w:val="0"/>
          <w:numId w:val="3"/>
        </w:numPr>
        <w:ind w:left="1560" w:hanging="426"/>
      </w:pPr>
      <w:r>
        <w:t>appropriate disposal</w:t>
      </w:r>
    </w:p>
    <w:p w14:paraId="3778C6D5" w14:textId="34736574" w:rsidR="002C6023" w:rsidRDefault="00536D32" w:rsidP="00287635">
      <w:pPr>
        <w:pStyle w:val="ListParagraph"/>
        <w:numPr>
          <w:ilvl w:val="0"/>
          <w:numId w:val="3"/>
        </w:numPr>
        <w:ind w:left="1560" w:hanging="426"/>
      </w:pPr>
      <w:proofErr w:type="gramStart"/>
      <w:r>
        <w:t>removal</w:t>
      </w:r>
      <w:proofErr w:type="gramEnd"/>
      <w:r w:rsidR="002C6023">
        <w:t xml:space="preserve"> to the new place of employment. </w:t>
      </w:r>
    </w:p>
    <w:p w14:paraId="6CF2790A" w14:textId="77777777" w:rsidR="006D7425" w:rsidRDefault="006D7425" w:rsidP="006D7425">
      <w:pPr>
        <w:pStyle w:val="ListParagraph"/>
        <w:ind w:left="1560"/>
      </w:pPr>
    </w:p>
    <w:p w14:paraId="2F7099E5" w14:textId="77777777" w:rsidR="002C6023" w:rsidRDefault="002C6023" w:rsidP="002C6023">
      <w:pPr>
        <w:pStyle w:val="ListParagraph"/>
        <w:numPr>
          <w:ilvl w:val="0"/>
          <w:numId w:val="2"/>
        </w:numPr>
      </w:pPr>
      <w:r>
        <w:t xml:space="preserve">If for any reason (including </w:t>
      </w:r>
      <w:r w:rsidR="00922BB0">
        <w:t xml:space="preserve">disposal and </w:t>
      </w:r>
      <w:r>
        <w:t>transport</w:t>
      </w:r>
      <w:r w:rsidR="00922BB0">
        <w:t xml:space="preserve"> to a different site or lab</w:t>
      </w:r>
      <w:r>
        <w:t xml:space="preserve">) the equipment is taken out of use, it must be decontaminated in an appropriate manner. </w:t>
      </w:r>
    </w:p>
    <w:p w14:paraId="2D1A6A1F" w14:textId="77777777" w:rsidR="006D7425" w:rsidRDefault="006D7425" w:rsidP="006D7425">
      <w:pPr>
        <w:pStyle w:val="ListParagraph"/>
      </w:pPr>
    </w:p>
    <w:p w14:paraId="0DCCA8BB" w14:textId="132D08BB" w:rsidR="001779CC" w:rsidRDefault="002C6023" w:rsidP="002C6023">
      <w:pPr>
        <w:pStyle w:val="ListParagraph"/>
        <w:numPr>
          <w:ilvl w:val="0"/>
          <w:numId w:val="2"/>
        </w:numPr>
      </w:pPr>
      <w:r>
        <w:t xml:space="preserve">If the equipment is </w:t>
      </w:r>
      <w:r w:rsidR="001779CC">
        <w:t>transferred</w:t>
      </w:r>
      <w:r>
        <w:t xml:space="preserve"> to someone still in the employment of the College</w:t>
      </w:r>
      <w:r w:rsidR="001779CC">
        <w:t>,</w:t>
      </w:r>
      <w:r>
        <w:t xml:space="preserve"> then they will need</w:t>
      </w:r>
      <w:r w:rsidR="00E028AB">
        <w:t xml:space="preserve"> to</w:t>
      </w:r>
      <w:r w:rsidR="0072512B">
        <w:t xml:space="preserve"> be</w:t>
      </w:r>
      <w:r w:rsidR="001779CC">
        <w:t>:</w:t>
      </w:r>
    </w:p>
    <w:p w14:paraId="2B1B45EA" w14:textId="77777777" w:rsidR="000A0111" w:rsidRDefault="000A0111" w:rsidP="00287635">
      <w:pPr>
        <w:pStyle w:val="ListParagraph"/>
        <w:numPr>
          <w:ilvl w:val="1"/>
          <w:numId w:val="2"/>
        </w:numPr>
        <w:ind w:left="1560" w:hanging="426"/>
      </w:pPr>
      <w:proofErr w:type="gramStart"/>
      <w:r>
        <w:t>sufficiently</w:t>
      </w:r>
      <w:proofErr w:type="gramEnd"/>
      <w:r>
        <w:t xml:space="preserve"> trained in its use and maintenance.</w:t>
      </w:r>
    </w:p>
    <w:p w14:paraId="5055DB2D" w14:textId="77777777" w:rsidR="000A0111" w:rsidRDefault="000A0111" w:rsidP="00287635">
      <w:pPr>
        <w:pStyle w:val="ListParagraph"/>
        <w:numPr>
          <w:ilvl w:val="1"/>
          <w:numId w:val="2"/>
        </w:numPr>
        <w:ind w:left="1560" w:hanging="426"/>
      </w:pPr>
      <w:proofErr w:type="gramStart"/>
      <w:r>
        <w:t>provided</w:t>
      </w:r>
      <w:proofErr w:type="gramEnd"/>
      <w:r>
        <w:t xml:space="preserve"> with related equipment manuals.</w:t>
      </w:r>
    </w:p>
    <w:p w14:paraId="0C3A13EE" w14:textId="60330C6B" w:rsidR="000A0111" w:rsidRDefault="000A0111" w:rsidP="00287635">
      <w:pPr>
        <w:pStyle w:val="ListParagraph"/>
        <w:numPr>
          <w:ilvl w:val="1"/>
          <w:numId w:val="2"/>
        </w:numPr>
        <w:ind w:left="1560" w:hanging="426"/>
      </w:pPr>
      <w:proofErr w:type="gramStart"/>
      <w:r>
        <w:t>provided</w:t>
      </w:r>
      <w:proofErr w:type="gramEnd"/>
      <w:r>
        <w:t xml:space="preserve"> with all documentation relating to historical maintenance of the equipment (where available). </w:t>
      </w:r>
    </w:p>
    <w:p w14:paraId="6965F9E8" w14:textId="77777777" w:rsidR="006D7425" w:rsidRDefault="006D7425" w:rsidP="006D7425">
      <w:pPr>
        <w:pStyle w:val="ListParagraph"/>
        <w:ind w:left="1560"/>
      </w:pPr>
    </w:p>
    <w:p w14:paraId="03CA6940" w14:textId="26507DEA" w:rsidR="000A0111" w:rsidRDefault="000A0111" w:rsidP="002C6023">
      <w:pPr>
        <w:pStyle w:val="ListParagraph"/>
        <w:numPr>
          <w:ilvl w:val="0"/>
          <w:numId w:val="2"/>
        </w:numPr>
      </w:pPr>
      <w:r>
        <w:t>If the equipment falls under that listed in category D then all records should be amended accordingly to reflect change of ownership. All disposals must be arranged in conjunction with the Safety Department.</w:t>
      </w:r>
    </w:p>
    <w:p w14:paraId="08312089" w14:textId="77777777" w:rsidR="006D7425" w:rsidRDefault="006D7425" w:rsidP="006D7425">
      <w:pPr>
        <w:pStyle w:val="ListParagraph"/>
      </w:pPr>
    </w:p>
    <w:p w14:paraId="7D606936" w14:textId="550BB8B7" w:rsidR="00637499" w:rsidRDefault="000A0111" w:rsidP="00287635">
      <w:pPr>
        <w:pStyle w:val="ListParagraph"/>
        <w:numPr>
          <w:ilvl w:val="0"/>
          <w:numId w:val="2"/>
        </w:numPr>
      </w:pPr>
      <w:r>
        <w:t>If the equipment falls under that listed in category E then all records should be amended accordingly to reflect change of ownership</w:t>
      </w:r>
    </w:p>
    <w:p w14:paraId="76B12849" w14:textId="77777777" w:rsidR="00137EF6" w:rsidRDefault="00137EF6" w:rsidP="00137EF6">
      <w:pPr>
        <w:rPr>
          <w:b/>
          <w:u w:val="single"/>
        </w:rPr>
      </w:pPr>
      <w:r>
        <w:rPr>
          <w:b/>
          <w:u w:val="single"/>
        </w:rPr>
        <w:t>Transfer of Training Responsibilities</w:t>
      </w:r>
    </w:p>
    <w:p w14:paraId="0563797A" w14:textId="6C052644" w:rsidR="00137EF6" w:rsidRDefault="00F93039" w:rsidP="00B55B73">
      <w:pPr>
        <w:pStyle w:val="ListParagraph"/>
        <w:numPr>
          <w:ilvl w:val="0"/>
          <w:numId w:val="2"/>
        </w:numPr>
        <w:spacing w:before="200" w:after="200"/>
        <w:ind w:left="714" w:hanging="357"/>
      </w:pPr>
      <w:r>
        <w:t>If a leaving member of staff has safety training responsibilities, these must either be transferred to someone else who is “competent” in accordance with the relevant legislation, or the activity must cease until such time as a competent person is appointed.</w:t>
      </w:r>
      <w:r w:rsidR="00BC69E4">
        <w:t xml:space="preserve"> Any </w:t>
      </w:r>
      <w:r w:rsidR="00BC69E4" w:rsidRPr="00BC69E4">
        <w:t xml:space="preserve">new work requiring </w:t>
      </w:r>
      <w:r w:rsidR="00BC69E4">
        <w:t xml:space="preserve">said </w:t>
      </w:r>
      <w:r w:rsidR="00BC69E4" w:rsidRPr="00BC69E4">
        <w:t>training cannot start until a competent trainer has been sourced/appointed.</w:t>
      </w:r>
    </w:p>
    <w:p w14:paraId="5FB9E6C8" w14:textId="77777777" w:rsidR="006D7425" w:rsidRDefault="006D7425" w:rsidP="006D7425">
      <w:pPr>
        <w:pStyle w:val="ListParagraph"/>
        <w:spacing w:before="200" w:after="200"/>
        <w:ind w:left="714"/>
      </w:pPr>
    </w:p>
    <w:p w14:paraId="5437E1A9" w14:textId="3632D342" w:rsidR="005915EB" w:rsidRDefault="005915EB" w:rsidP="00B55B73">
      <w:pPr>
        <w:pStyle w:val="ListParagraph"/>
        <w:numPr>
          <w:ilvl w:val="0"/>
          <w:numId w:val="2"/>
        </w:numPr>
        <w:spacing w:before="200" w:after="200"/>
        <w:ind w:left="714" w:hanging="357"/>
      </w:pPr>
      <w:r>
        <w:t xml:space="preserve">Whenever training responsibilities are transferred, the </w:t>
      </w:r>
      <w:r w:rsidR="0072512B">
        <w:t xml:space="preserve">activities and </w:t>
      </w:r>
      <w:r>
        <w:t>training should be reviewed by the person taking over the responsibility.</w:t>
      </w:r>
    </w:p>
    <w:p w14:paraId="5AFBE780" w14:textId="77777777" w:rsidR="006D7425" w:rsidRDefault="006D7425" w:rsidP="006D7425">
      <w:pPr>
        <w:pStyle w:val="ListParagraph"/>
      </w:pPr>
    </w:p>
    <w:p w14:paraId="79D77DA4" w14:textId="77777777" w:rsidR="006D7425" w:rsidRDefault="006D7425" w:rsidP="006D7425">
      <w:pPr>
        <w:pStyle w:val="ListParagraph"/>
        <w:spacing w:before="200" w:after="200"/>
        <w:ind w:left="714"/>
      </w:pPr>
    </w:p>
    <w:p w14:paraId="7ED8EDE7" w14:textId="77777777" w:rsidR="00637499" w:rsidRDefault="005915EB" w:rsidP="00B55B73">
      <w:pPr>
        <w:pStyle w:val="ListParagraph"/>
        <w:numPr>
          <w:ilvl w:val="0"/>
          <w:numId w:val="2"/>
        </w:numPr>
        <w:spacing w:before="200" w:after="200"/>
        <w:ind w:left="714" w:hanging="357"/>
      </w:pPr>
      <w:r>
        <w:lastRenderedPageBreak/>
        <w:t>Any records relating to training of other staff members must be transferred to the person taking over responsibility, or in the absence of such a person,</w:t>
      </w:r>
      <w:r w:rsidR="00922BB0">
        <w:t xml:space="preserve"> the D</w:t>
      </w:r>
      <w:r>
        <w:t>epartment.</w:t>
      </w:r>
    </w:p>
    <w:p w14:paraId="1D5106B4" w14:textId="77777777" w:rsidR="00637499" w:rsidRPr="00637499" w:rsidRDefault="00637499" w:rsidP="00637499">
      <w:pPr>
        <w:rPr>
          <w:b/>
          <w:u w:val="single"/>
        </w:rPr>
      </w:pPr>
      <w:r>
        <w:rPr>
          <w:b/>
          <w:u w:val="single"/>
        </w:rPr>
        <w:t>Operational Functions of the Staff Member L</w:t>
      </w:r>
      <w:r w:rsidRPr="00637499">
        <w:rPr>
          <w:b/>
          <w:u w:val="single"/>
        </w:rPr>
        <w:t>eaving</w:t>
      </w:r>
    </w:p>
    <w:p w14:paraId="487AE894" w14:textId="69D427D8" w:rsidR="00E91C38" w:rsidRDefault="00A41B2F" w:rsidP="00637499">
      <w:pPr>
        <w:pStyle w:val="ListParagraph"/>
        <w:numPr>
          <w:ilvl w:val="0"/>
          <w:numId w:val="2"/>
        </w:numPr>
      </w:pPr>
      <w:r>
        <w:t xml:space="preserve">Consideration must be given to any responsibilities the leaving member </w:t>
      </w:r>
      <w:r w:rsidR="00250241">
        <w:t xml:space="preserve">of staff has, with respect to </w:t>
      </w:r>
      <w:r w:rsidR="00536D32">
        <w:t xml:space="preserve">matters </w:t>
      </w:r>
      <w:r w:rsidR="00250241">
        <w:t>such as arranging statutory maintenance and inspections, managing maintenance contracts</w:t>
      </w:r>
      <w:r w:rsidR="0072512B">
        <w:t>, ordering consumables</w:t>
      </w:r>
      <w:r w:rsidR="00250241">
        <w:t xml:space="preserve"> etc. This is particularly important if these </w:t>
      </w:r>
      <w:r w:rsidR="00536D32">
        <w:t xml:space="preserve">areas </w:t>
      </w:r>
      <w:r w:rsidR="00250241">
        <w:t xml:space="preserve">are outside of the </w:t>
      </w:r>
      <w:r w:rsidR="00221E9D">
        <w:t>person’s</w:t>
      </w:r>
      <w:r w:rsidR="00250241">
        <w:t xml:space="preserve"> normal job description, as any replacement </w:t>
      </w:r>
      <w:r w:rsidR="00536D32">
        <w:t xml:space="preserve">may </w:t>
      </w:r>
      <w:r w:rsidR="00250241">
        <w:t xml:space="preserve">not </w:t>
      </w:r>
      <w:r w:rsidR="00536D32">
        <w:t xml:space="preserve">be </w:t>
      </w:r>
      <w:r w:rsidR="00250241">
        <w:t>automatically aware</w:t>
      </w:r>
      <w:r w:rsidR="00536D32">
        <w:t>.</w:t>
      </w:r>
    </w:p>
    <w:p w14:paraId="56DF5468" w14:textId="77777777" w:rsidR="0072512B" w:rsidRDefault="0072512B" w:rsidP="004C3452">
      <w:pPr>
        <w:pStyle w:val="ListParagraph"/>
      </w:pPr>
    </w:p>
    <w:p w14:paraId="2E3950A8" w14:textId="77777777" w:rsidR="00A6415D" w:rsidRDefault="00A6415D" w:rsidP="00A6415D">
      <w:r w:rsidRPr="00A6415D">
        <w:rPr>
          <w:b/>
          <w:u w:val="single"/>
        </w:rPr>
        <w:t>Management of Documentation</w:t>
      </w:r>
    </w:p>
    <w:p w14:paraId="67D7FD2B" w14:textId="0B097345" w:rsidR="00A6415D" w:rsidRDefault="00A6415D" w:rsidP="00A6415D">
      <w:pPr>
        <w:pStyle w:val="ListParagraph"/>
        <w:numPr>
          <w:ilvl w:val="0"/>
          <w:numId w:val="2"/>
        </w:numPr>
      </w:pPr>
      <w:r>
        <w:t>Where the member of staff had a key role in the management and/or approval of safety documentation, the role should be defined and passed on to a suitabl</w:t>
      </w:r>
      <w:r w:rsidR="00536D32">
        <w:t>y competent</w:t>
      </w:r>
      <w:r>
        <w:t xml:space="preserve"> person.</w:t>
      </w:r>
    </w:p>
    <w:p w14:paraId="2B639895" w14:textId="77777777" w:rsidR="006D7425" w:rsidRDefault="006D7425" w:rsidP="006D7425">
      <w:pPr>
        <w:pStyle w:val="ListParagraph"/>
      </w:pPr>
      <w:bookmarkStart w:id="0" w:name="_GoBack"/>
      <w:bookmarkEnd w:id="0"/>
    </w:p>
    <w:p w14:paraId="6418470A" w14:textId="0497E3D4" w:rsidR="00A6415D" w:rsidRDefault="00A6415D" w:rsidP="00A6415D">
      <w:pPr>
        <w:pStyle w:val="ListParagraph"/>
        <w:numPr>
          <w:ilvl w:val="0"/>
          <w:numId w:val="2"/>
        </w:numPr>
      </w:pPr>
      <w:r>
        <w:t xml:space="preserve">Any documentation relating to safety (e.g. training records, maintenance records, risk assessments) owned by the member of staff leaving should be made available to the </w:t>
      </w:r>
      <w:r w:rsidR="00536D32">
        <w:t>D</w:t>
      </w:r>
      <w:r>
        <w:t>epartment.</w:t>
      </w:r>
    </w:p>
    <w:p w14:paraId="126A4478" w14:textId="77777777" w:rsidR="00A6415D" w:rsidRDefault="00A6415D" w:rsidP="00A6415D">
      <w:r>
        <w:rPr>
          <w:b/>
          <w:u w:val="single"/>
        </w:rPr>
        <w:t>Access</w:t>
      </w:r>
    </w:p>
    <w:p w14:paraId="11D17069" w14:textId="77777777" w:rsidR="00A6415D" w:rsidRDefault="00A6415D" w:rsidP="00A6415D">
      <w:pPr>
        <w:pStyle w:val="ListParagraph"/>
        <w:numPr>
          <w:ilvl w:val="0"/>
          <w:numId w:val="2"/>
        </w:numPr>
      </w:pPr>
      <w:r>
        <w:t>If the member of staff was required to approve access to specific areas then this responsibility needs to be passed on to a suitable person.</w:t>
      </w:r>
    </w:p>
    <w:p w14:paraId="2AD22431" w14:textId="77777777" w:rsidR="00A6415D" w:rsidRDefault="00A6415D" w:rsidP="00A6415D">
      <w:pPr>
        <w:pStyle w:val="ListParagraph"/>
        <w:numPr>
          <w:ilvl w:val="0"/>
          <w:numId w:val="2"/>
        </w:numPr>
      </w:pPr>
      <w:r>
        <w:t>The card access rights of the person leaving should be either removed or adjusted accordingly.</w:t>
      </w:r>
    </w:p>
    <w:p w14:paraId="6F5B6BEA" w14:textId="77777777" w:rsidR="0072512B" w:rsidRDefault="0072512B" w:rsidP="004C3452"/>
    <w:p w14:paraId="186DA562" w14:textId="3E153225" w:rsidR="0072512B" w:rsidRPr="00A6415D" w:rsidRDefault="0072512B" w:rsidP="004C3452">
      <w:r>
        <w:t xml:space="preserve">In all cases it is preferable to have </w:t>
      </w:r>
      <w:r w:rsidR="00536D32">
        <w:t>a system in place for ha</w:t>
      </w:r>
      <w:r>
        <w:t>ndover which allows the outgoing and incumbent</w:t>
      </w:r>
      <w:r w:rsidR="00536D32">
        <w:t xml:space="preserve"> staff members to meet and have discussions on their roles and responsibilities wherever possible.</w:t>
      </w:r>
      <w:r w:rsidR="00A2011B">
        <w:t xml:space="preserve"> In most instances incoming staff can be preparing their documentation prior to arrival.</w:t>
      </w:r>
    </w:p>
    <w:sectPr w:rsidR="0072512B" w:rsidRPr="00A6415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1BA37" w14:textId="77777777" w:rsidR="0075238A" w:rsidRDefault="0075238A" w:rsidP="0075238A">
      <w:pPr>
        <w:spacing w:after="0" w:line="240" w:lineRule="auto"/>
      </w:pPr>
      <w:r>
        <w:separator/>
      </w:r>
    </w:p>
  </w:endnote>
  <w:endnote w:type="continuationSeparator" w:id="0">
    <w:p w14:paraId="13A7AB57" w14:textId="77777777" w:rsidR="0075238A" w:rsidRDefault="0075238A" w:rsidP="0075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9C3D3" w14:textId="77777777" w:rsidR="0075238A" w:rsidRDefault="0075238A" w:rsidP="0075238A">
      <w:pPr>
        <w:spacing w:after="0" w:line="240" w:lineRule="auto"/>
      </w:pPr>
      <w:r>
        <w:separator/>
      </w:r>
    </w:p>
  </w:footnote>
  <w:footnote w:type="continuationSeparator" w:id="0">
    <w:p w14:paraId="06DD6DA8" w14:textId="77777777" w:rsidR="0075238A" w:rsidRDefault="0075238A" w:rsidP="00752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045F3" w14:textId="515EECF5" w:rsidR="0075238A" w:rsidRDefault="007523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3DAF"/>
    <w:multiLevelType w:val="hybridMultilevel"/>
    <w:tmpl w:val="8F66D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930D32"/>
    <w:multiLevelType w:val="hybridMultilevel"/>
    <w:tmpl w:val="B6963CB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9E7FE4"/>
    <w:multiLevelType w:val="hybridMultilevel"/>
    <w:tmpl w:val="0A28F680"/>
    <w:lvl w:ilvl="0" w:tplc="08090001">
      <w:start w:val="1"/>
      <w:numFmt w:val="bullet"/>
      <w:lvlText w:val=""/>
      <w:lvlJc w:val="left"/>
      <w:pPr>
        <w:ind w:left="2211" w:hanging="360"/>
      </w:pPr>
      <w:rPr>
        <w:rFonts w:ascii="Symbol" w:hAnsi="Symbol" w:hint="default"/>
      </w:rPr>
    </w:lvl>
    <w:lvl w:ilvl="1" w:tplc="08090003" w:tentative="1">
      <w:start w:val="1"/>
      <w:numFmt w:val="bullet"/>
      <w:lvlText w:val="o"/>
      <w:lvlJc w:val="left"/>
      <w:pPr>
        <w:ind w:left="2931" w:hanging="360"/>
      </w:pPr>
      <w:rPr>
        <w:rFonts w:ascii="Courier New" w:hAnsi="Courier New" w:cs="Courier New" w:hint="default"/>
      </w:rPr>
    </w:lvl>
    <w:lvl w:ilvl="2" w:tplc="08090005" w:tentative="1">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3" w15:restartNumberingAfterBreak="0">
    <w:nsid w:val="296F4BF9"/>
    <w:multiLevelType w:val="hybridMultilevel"/>
    <w:tmpl w:val="5E9E3D8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31621"/>
    <w:multiLevelType w:val="hybridMultilevel"/>
    <w:tmpl w:val="5FCEBF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4F2AE5"/>
    <w:multiLevelType w:val="hybridMultilevel"/>
    <w:tmpl w:val="92C2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525A6"/>
    <w:multiLevelType w:val="hybridMultilevel"/>
    <w:tmpl w:val="06C61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87736F"/>
    <w:multiLevelType w:val="hybridMultilevel"/>
    <w:tmpl w:val="57D01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BB5349"/>
    <w:multiLevelType w:val="hybridMultilevel"/>
    <w:tmpl w:val="AD12F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7"/>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4C"/>
    <w:rsid w:val="0006454C"/>
    <w:rsid w:val="000A0111"/>
    <w:rsid w:val="00137EF6"/>
    <w:rsid w:val="001779CC"/>
    <w:rsid w:val="0018574B"/>
    <w:rsid w:val="001B5AFB"/>
    <w:rsid w:val="00221E9D"/>
    <w:rsid w:val="00250241"/>
    <w:rsid w:val="00287635"/>
    <w:rsid w:val="002C6023"/>
    <w:rsid w:val="00342630"/>
    <w:rsid w:val="00485906"/>
    <w:rsid w:val="004C3452"/>
    <w:rsid w:val="004E6256"/>
    <w:rsid w:val="005201E7"/>
    <w:rsid w:val="00532982"/>
    <w:rsid w:val="00536D32"/>
    <w:rsid w:val="005915EB"/>
    <w:rsid w:val="00605A91"/>
    <w:rsid w:val="00637499"/>
    <w:rsid w:val="006D7425"/>
    <w:rsid w:val="0072512B"/>
    <w:rsid w:val="0075238A"/>
    <w:rsid w:val="007F03C4"/>
    <w:rsid w:val="00922BB0"/>
    <w:rsid w:val="009C799E"/>
    <w:rsid w:val="009E4674"/>
    <w:rsid w:val="00A2011B"/>
    <w:rsid w:val="00A41B2F"/>
    <w:rsid w:val="00A6044B"/>
    <w:rsid w:val="00A6415D"/>
    <w:rsid w:val="00B55B73"/>
    <w:rsid w:val="00B92399"/>
    <w:rsid w:val="00BC69E4"/>
    <w:rsid w:val="00CD055C"/>
    <w:rsid w:val="00CF10AA"/>
    <w:rsid w:val="00E028AB"/>
    <w:rsid w:val="00E61845"/>
    <w:rsid w:val="00E763E2"/>
    <w:rsid w:val="00E91C38"/>
    <w:rsid w:val="00EF1488"/>
    <w:rsid w:val="00F93039"/>
    <w:rsid w:val="00FC0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82EF64"/>
  <w15:chartTrackingRefBased/>
  <w15:docId w15:val="{8405F5FB-316C-4DF5-A55F-9EEEBBC5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C38"/>
    <w:pPr>
      <w:ind w:left="720"/>
      <w:contextualSpacing/>
    </w:pPr>
  </w:style>
  <w:style w:type="character" w:styleId="Hyperlink">
    <w:name w:val="Hyperlink"/>
    <w:basedOn w:val="DefaultParagraphFont"/>
    <w:uiPriority w:val="99"/>
    <w:unhideWhenUsed/>
    <w:rsid w:val="00532982"/>
    <w:rPr>
      <w:color w:val="0563C1" w:themeColor="hyperlink"/>
      <w:u w:val="single"/>
    </w:rPr>
  </w:style>
  <w:style w:type="character" w:styleId="FollowedHyperlink">
    <w:name w:val="FollowedHyperlink"/>
    <w:basedOn w:val="DefaultParagraphFont"/>
    <w:uiPriority w:val="99"/>
    <w:semiHidden/>
    <w:unhideWhenUsed/>
    <w:rsid w:val="00532982"/>
    <w:rPr>
      <w:color w:val="954F72" w:themeColor="followedHyperlink"/>
      <w:u w:val="single"/>
    </w:rPr>
  </w:style>
  <w:style w:type="character" w:styleId="CommentReference">
    <w:name w:val="annotation reference"/>
    <w:basedOn w:val="DefaultParagraphFont"/>
    <w:uiPriority w:val="99"/>
    <w:semiHidden/>
    <w:unhideWhenUsed/>
    <w:rsid w:val="00EF1488"/>
    <w:rPr>
      <w:sz w:val="16"/>
      <w:szCs w:val="16"/>
    </w:rPr>
  </w:style>
  <w:style w:type="paragraph" w:styleId="CommentText">
    <w:name w:val="annotation text"/>
    <w:basedOn w:val="Normal"/>
    <w:link w:val="CommentTextChar"/>
    <w:uiPriority w:val="99"/>
    <w:semiHidden/>
    <w:unhideWhenUsed/>
    <w:rsid w:val="00EF1488"/>
    <w:pPr>
      <w:spacing w:line="240" w:lineRule="auto"/>
    </w:pPr>
    <w:rPr>
      <w:sz w:val="20"/>
      <w:szCs w:val="20"/>
    </w:rPr>
  </w:style>
  <w:style w:type="character" w:customStyle="1" w:styleId="CommentTextChar">
    <w:name w:val="Comment Text Char"/>
    <w:basedOn w:val="DefaultParagraphFont"/>
    <w:link w:val="CommentText"/>
    <w:uiPriority w:val="99"/>
    <w:semiHidden/>
    <w:rsid w:val="00EF1488"/>
    <w:rPr>
      <w:sz w:val="20"/>
      <w:szCs w:val="20"/>
    </w:rPr>
  </w:style>
  <w:style w:type="paragraph" w:styleId="CommentSubject">
    <w:name w:val="annotation subject"/>
    <w:basedOn w:val="CommentText"/>
    <w:next w:val="CommentText"/>
    <w:link w:val="CommentSubjectChar"/>
    <w:uiPriority w:val="99"/>
    <w:semiHidden/>
    <w:unhideWhenUsed/>
    <w:rsid w:val="00EF1488"/>
    <w:rPr>
      <w:b/>
      <w:bCs/>
    </w:rPr>
  </w:style>
  <w:style w:type="character" w:customStyle="1" w:styleId="CommentSubjectChar">
    <w:name w:val="Comment Subject Char"/>
    <w:basedOn w:val="CommentTextChar"/>
    <w:link w:val="CommentSubject"/>
    <w:uiPriority w:val="99"/>
    <w:semiHidden/>
    <w:rsid w:val="00EF1488"/>
    <w:rPr>
      <w:b/>
      <w:bCs/>
      <w:sz w:val="20"/>
      <w:szCs w:val="20"/>
    </w:rPr>
  </w:style>
  <w:style w:type="paragraph" w:styleId="BalloonText">
    <w:name w:val="Balloon Text"/>
    <w:basedOn w:val="Normal"/>
    <w:link w:val="BalloonTextChar"/>
    <w:uiPriority w:val="99"/>
    <w:semiHidden/>
    <w:unhideWhenUsed/>
    <w:rsid w:val="00EF1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488"/>
    <w:rPr>
      <w:rFonts w:ascii="Segoe UI" w:hAnsi="Segoe UI" w:cs="Segoe UI"/>
      <w:sz w:val="18"/>
      <w:szCs w:val="18"/>
    </w:rPr>
  </w:style>
  <w:style w:type="paragraph" w:styleId="Revision">
    <w:name w:val="Revision"/>
    <w:hidden/>
    <w:uiPriority w:val="99"/>
    <w:semiHidden/>
    <w:rsid w:val="004C3452"/>
    <w:pPr>
      <w:spacing w:after="0" w:line="240" w:lineRule="auto"/>
    </w:pPr>
  </w:style>
  <w:style w:type="paragraph" w:styleId="Header">
    <w:name w:val="header"/>
    <w:basedOn w:val="Normal"/>
    <w:link w:val="HeaderChar"/>
    <w:uiPriority w:val="99"/>
    <w:unhideWhenUsed/>
    <w:rsid w:val="00752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38A"/>
  </w:style>
  <w:style w:type="paragraph" w:styleId="Footer">
    <w:name w:val="footer"/>
    <w:basedOn w:val="Normal"/>
    <w:link w:val="FooterChar"/>
    <w:uiPriority w:val="99"/>
    <w:unhideWhenUsed/>
    <w:rsid w:val="00752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8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media/imperial-college/administration-and-support-services/safety/internal/biosafety/Form-E.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perial.ac.uk/media/imperial-college/administration-and-support-services/safety/internal/biosafety/Form-E.docx" TargetMode="External"/><Relationship Id="rId5" Type="http://schemas.openxmlformats.org/officeDocument/2006/relationships/webSettings" Target="webSettings.xml"/><Relationship Id="rId10" Type="http://schemas.openxmlformats.org/officeDocument/2006/relationships/hyperlink" Target="http://www.imperial.ac.uk/media/imperial-college/administration-and-support-services/safety/internal/biosafety/Form-E.docx" TargetMode="External"/><Relationship Id="rId4" Type="http://schemas.openxmlformats.org/officeDocument/2006/relationships/settings" Target="settings.xml"/><Relationship Id="rId9" Type="http://schemas.openxmlformats.org/officeDocument/2006/relationships/hyperlink" Target="http://www.imperial.ac.uk/media/imperial-college/administration-and-support-services/safety/internal/biosafety/Form-E.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68E55-1497-440C-8F2A-BB1B89B3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Hartrick, Eddie</dc:creator>
  <cp:keywords/>
  <dc:description/>
  <cp:lastModifiedBy>Church, Alison</cp:lastModifiedBy>
  <cp:revision>3</cp:revision>
  <dcterms:created xsi:type="dcterms:W3CDTF">2017-10-09T13:56:00Z</dcterms:created>
  <dcterms:modified xsi:type="dcterms:W3CDTF">2017-10-09T13:58:00Z</dcterms:modified>
</cp:coreProperties>
</file>