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92" w:rsidRPr="009B4181" w:rsidRDefault="009B4181" w:rsidP="00FC1C92">
      <w:pPr>
        <w:pStyle w:val="Header"/>
        <w:jc w:val="center"/>
        <w:rPr>
          <w:sz w:val="28"/>
          <w:szCs w:val="28"/>
          <w:u w:val="single"/>
        </w:rPr>
      </w:pPr>
      <w:r w:rsidRPr="009B4181">
        <w:rPr>
          <w:sz w:val="28"/>
          <w:szCs w:val="28"/>
          <w:u w:val="single"/>
        </w:rPr>
        <w:t xml:space="preserve">RESEARCH COUNCILS - </w:t>
      </w:r>
      <w:r w:rsidR="00FC1C92" w:rsidRPr="009B4181">
        <w:rPr>
          <w:sz w:val="28"/>
          <w:szCs w:val="28"/>
          <w:u w:val="single"/>
        </w:rPr>
        <w:t>ELIGIBLE AND NON-ELIGIBLE EXPENSES</w:t>
      </w:r>
    </w:p>
    <w:p w:rsidR="00FC1C92" w:rsidRDefault="00FC1C92"/>
    <w:p w:rsidR="00FC1C92" w:rsidRDefault="00FC1C92"/>
    <w:tbl>
      <w:tblPr>
        <w:tblStyle w:val="TableGrid"/>
        <w:tblW w:w="14600" w:type="dxa"/>
        <w:tblLook w:val="04A0"/>
      </w:tblPr>
      <w:tblGrid>
        <w:gridCol w:w="2093"/>
        <w:gridCol w:w="12507"/>
      </w:tblGrid>
      <w:tr w:rsidR="00AF15A9" w:rsidRPr="00AF15A9" w:rsidTr="00467F09">
        <w:tc>
          <w:tcPr>
            <w:tcW w:w="2093" w:type="dxa"/>
          </w:tcPr>
          <w:p w:rsidR="00AF15A9" w:rsidRPr="00543A06" w:rsidRDefault="00AF15A9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543A06">
              <w:rPr>
                <w:rFonts w:asciiTheme="minorHAnsi" w:hAnsiTheme="minorHAnsi"/>
                <w:b/>
                <w:sz w:val="20"/>
                <w:szCs w:val="20"/>
              </w:rPr>
              <w:t>D</w:t>
            </w:r>
            <w:r w:rsidR="00543A06" w:rsidRPr="00543A06">
              <w:rPr>
                <w:rFonts w:asciiTheme="minorHAnsi" w:hAnsiTheme="minorHAnsi"/>
                <w:b/>
                <w:sz w:val="20"/>
                <w:szCs w:val="20"/>
              </w:rPr>
              <w:t xml:space="preserve">irectly </w:t>
            </w:r>
            <w:r w:rsidRPr="00543A06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="00543A06" w:rsidRPr="00543A06">
              <w:rPr>
                <w:rFonts w:asciiTheme="minorHAnsi" w:hAnsiTheme="minorHAnsi"/>
                <w:b/>
                <w:sz w:val="20"/>
                <w:szCs w:val="20"/>
              </w:rPr>
              <w:t>ncurred</w:t>
            </w:r>
            <w:r w:rsidRPr="00543A06">
              <w:rPr>
                <w:rFonts w:asciiTheme="minorHAnsi" w:hAnsiTheme="minorHAnsi"/>
                <w:b/>
                <w:sz w:val="20"/>
                <w:szCs w:val="20"/>
              </w:rPr>
              <w:t xml:space="preserve"> Staff</w:t>
            </w:r>
          </w:p>
        </w:tc>
        <w:tc>
          <w:tcPr>
            <w:tcW w:w="12507" w:type="dxa"/>
            <w:shd w:val="clear" w:color="auto" w:fill="auto"/>
          </w:tcPr>
          <w:p w:rsidR="00B01E37" w:rsidRPr="00AF15A9" w:rsidRDefault="00B01E37" w:rsidP="00FC1C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sz w:val="20"/>
                <w:szCs w:val="20"/>
              </w:rPr>
              <w:t>Recruitment costs are eligible if they are incurred after the date of the award letter</w:t>
            </w:r>
            <w:r w:rsidR="001B3E7C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AF15A9" w:rsidRPr="00E9720B" w:rsidRDefault="00AF15A9" w:rsidP="00E9720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15A9" w:rsidRPr="00AF15A9" w:rsidTr="00467F09">
        <w:tc>
          <w:tcPr>
            <w:tcW w:w="2093" w:type="dxa"/>
          </w:tcPr>
          <w:p w:rsidR="00AF15A9" w:rsidRPr="00543A06" w:rsidRDefault="00543A0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543A06">
              <w:rPr>
                <w:rFonts w:asciiTheme="minorHAnsi" w:hAnsiTheme="minorHAnsi"/>
                <w:b/>
                <w:sz w:val="20"/>
                <w:szCs w:val="20"/>
              </w:rPr>
              <w:t xml:space="preserve">Directly Incurred </w:t>
            </w:r>
            <w:r w:rsidR="00AF15A9" w:rsidRPr="00543A06">
              <w:rPr>
                <w:rFonts w:asciiTheme="minorHAnsi" w:hAnsiTheme="minorHAnsi"/>
                <w:b/>
                <w:sz w:val="20"/>
                <w:szCs w:val="20"/>
              </w:rPr>
              <w:t>Equipment</w:t>
            </w:r>
          </w:p>
        </w:tc>
        <w:tc>
          <w:tcPr>
            <w:tcW w:w="12507" w:type="dxa"/>
            <w:shd w:val="clear" w:color="auto" w:fill="auto"/>
          </w:tcPr>
          <w:p w:rsidR="00B01E37" w:rsidRPr="00AF15A9" w:rsidRDefault="00B01E37" w:rsidP="00BF75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sz w:val="20"/>
                <w:szCs w:val="20"/>
              </w:rPr>
              <w:t>Budgeted Large Equipment must be purchased within the first 12 months of the project</w:t>
            </w:r>
            <w:r w:rsidR="001B3E7C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B01E37" w:rsidRPr="00AF15A9" w:rsidRDefault="00B01E37" w:rsidP="00BF75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sz w:val="20"/>
                <w:szCs w:val="20"/>
              </w:rPr>
              <w:t>Procurement of equipment, consumables and services must comply with national and EU legislation and the College’s own procurement policy</w:t>
            </w:r>
            <w:r w:rsidR="001B3E7C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AF15A9" w:rsidRPr="00B01E37" w:rsidRDefault="00B01E37" w:rsidP="00BF75D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01E37">
              <w:rPr>
                <w:rFonts w:asciiTheme="minorHAnsi" w:hAnsiTheme="minorHAnsi"/>
                <w:sz w:val="20"/>
                <w:szCs w:val="20"/>
              </w:rPr>
              <w:t>For all orders valued more than £25K excluding VAT, professionally qualified procurement staff must be consulted before the procurement process begins</w:t>
            </w:r>
            <w:r w:rsidR="001B3E7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AF15A9" w:rsidRPr="00AF15A9" w:rsidTr="00467F09">
        <w:tc>
          <w:tcPr>
            <w:tcW w:w="2093" w:type="dxa"/>
          </w:tcPr>
          <w:p w:rsidR="00AF15A9" w:rsidRPr="00543A06" w:rsidRDefault="00543A0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543A06">
              <w:rPr>
                <w:rFonts w:asciiTheme="minorHAnsi" w:hAnsiTheme="minorHAnsi"/>
                <w:b/>
                <w:sz w:val="20"/>
                <w:szCs w:val="20"/>
              </w:rPr>
              <w:t xml:space="preserve">Directly Incurred </w:t>
            </w:r>
            <w:r w:rsidR="00AF15A9" w:rsidRPr="00543A06">
              <w:rPr>
                <w:rFonts w:asciiTheme="minorHAnsi" w:hAnsiTheme="minorHAnsi"/>
                <w:b/>
                <w:sz w:val="20"/>
                <w:szCs w:val="20"/>
              </w:rPr>
              <w:t>Other non-staff</w:t>
            </w:r>
          </w:p>
        </w:tc>
        <w:tc>
          <w:tcPr>
            <w:tcW w:w="12507" w:type="dxa"/>
            <w:shd w:val="clear" w:color="auto" w:fill="auto"/>
          </w:tcPr>
          <w:p w:rsidR="00B01E37" w:rsidRPr="00AF15A9" w:rsidRDefault="00B01E37" w:rsidP="00FC1C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sz w:val="20"/>
                <w:szCs w:val="20"/>
              </w:rPr>
              <w:t>Office consumables (e.g. photocopying, printing, stationery, computer consumables, telephone costs, postage) are not eligible unless usage is exceptional and justified in the application and subsequently awarded by the Research Council</w:t>
            </w:r>
            <w:r w:rsidR="001B3E7C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AF15A9" w:rsidRPr="00B01E37" w:rsidRDefault="00B01E37" w:rsidP="00BF75D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01E37">
              <w:rPr>
                <w:rFonts w:asciiTheme="minorHAnsi" w:hAnsiTheme="minorHAnsi"/>
                <w:sz w:val="20"/>
                <w:szCs w:val="20"/>
              </w:rPr>
              <w:t>Costs associated with staff not directly involved in the project are not eligible</w:t>
            </w:r>
            <w:r w:rsidR="001B3E7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AF15A9" w:rsidRPr="00AF15A9" w:rsidTr="00467F09">
        <w:tc>
          <w:tcPr>
            <w:tcW w:w="2093" w:type="dxa"/>
          </w:tcPr>
          <w:p w:rsidR="00AF15A9" w:rsidRPr="00543A06" w:rsidRDefault="00AF15A9" w:rsidP="00AF15A9">
            <w:pPr>
              <w:spacing w:after="200" w:line="276" w:lineRule="auto"/>
              <w:ind w:right="-250"/>
              <w:rPr>
                <w:rFonts w:asciiTheme="minorHAnsi" w:hAnsiTheme="minorHAnsi"/>
                <w:b/>
                <w:sz w:val="20"/>
                <w:szCs w:val="20"/>
              </w:rPr>
            </w:pPr>
            <w:r w:rsidRPr="00543A06">
              <w:rPr>
                <w:rFonts w:asciiTheme="minorHAnsi" w:hAnsiTheme="minorHAnsi"/>
                <w:b/>
                <w:sz w:val="20"/>
                <w:szCs w:val="20"/>
              </w:rPr>
              <w:t>Non</w:t>
            </w:r>
            <w:r w:rsidR="00B01E37" w:rsidRPr="00543A0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  <w:r w:rsidRPr="00543A06">
              <w:rPr>
                <w:rFonts w:asciiTheme="minorHAnsi" w:hAnsiTheme="minorHAnsi"/>
                <w:b/>
                <w:sz w:val="20"/>
                <w:szCs w:val="20"/>
              </w:rPr>
              <w:t>eligible costs</w:t>
            </w:r>
          </w:p>
        </w:tc>
        <w:tc>
          <w:tcPr>
            <w:tcW w:w="12507" w:type="dxa"/>
            <w:shd w:val="clear" w:color="auto" w:fill="auto"/>
          </w:tcPr>
          <w:p w:rsidR="00FC1C92" w:rsidRPr="00FC1C92" w:rsidRDefault="00BF75D9" w:rsidP="00FC1C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Theme="minorHAnsi" w:hAnsiTheme="minorHAnsi"/>
                <w:sz w:val="20"/>
                <w:szCs w:val="20"/>
              </w:rPr>
            </w:pPr>
            <w:r w:rsidRPr="00BF75D9">
              <w:rPr>
                <w:rFonts w:asciiTheme="minorHAnsi" w:hAnsiTheme="minorHAnsi" w:cs="Arial"/>
                <w:sz w:val="20"/>
                <w:szCs w:val="20"/>
              </w:rPr>
              <w:t>Office stationery costs including, paper, basic printing, computer discs, books etc</w:t>
            </w:r>
            <w:r w:rsidR="00FC1C92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BF75D9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="00FC1C92">
              <w:rPr>
                <w:rFonts w:asciiTheme="minorHAnsi" w:hAnsiTheme="minorHAnsi" w:cs="Arial"/>
                <w:sz w:val="20"/>
                <w:szCs w:val="20"/>
              </w:rPr>
              <w:t>C</w:t>
            </w:r>
            <w:r w:rsidRPr="00BF75D9">
              <w:rPr>
                <w:rFonts w:asciiTheme="minorHAnsi" w:hAnsiTheme="minorHAnsi" w:cs="Arial"/>
                <w:sz w:val="20"/>
                <w:szCs w:val="20"/>
              </w:rPr>
              <w:t xml:space="preserve">ouncils see this as recovered as part of Indirect Costs).  You can </w:t>
            </w:r>
            <w:r w:rsidR="00FC1C92">
              <w:rPr>
                <w:rFonts w:asciiTheme="minorHAnsi" w:hAnsiTheme="minorHAnsi" w:cs="Arial"/>
                <w:sz w:val="20"/>
                <w:szCs w:val="20"/>
              </w:rPr>
              <w:t xml:space="preserve">however </w:t>
            </w:r>
            <w:r w:rsidRPr="00BF75D9">
              <w:rPr>
                <w:rFonts w:asciiTheme="minorHAnsi" w:hAnsiTheme="minorHAnsi" w:cs="Arial"/>
                <w:sz w:val="20"/>
                <w:szCs w:val="20"/>
              </w:rPr>
              <w:t>claim for specialist printing including posters for advertising/dissemination of results etc.</w:t>
            </w:r>
          </w:p>
          <w:p w:rsidR="00FC1C92" w:rsidRPr="00FC1C92" w:rsidRDefault="00BF75D9" w:rsidP="00FC1C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Strong"/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FC1C92">
              <w:rPr>
                <w:rFonts w:asciiTheme="minorHAnsi" w:hAnsiTheme="minorHAnsi" w:cs="Arial"/>
                <w:sz w:val="20"/>
                <w:szCs w:val="20"/>
              </w:rPr>
              <w:t xml:space="preserve">In the current climate </w:t>
            </w:r>
            <w:r w:rsidR="00FC1C92" w:rsidRPr="00FC1C92">
              <w:rPr>
                <w:rFonts w:asciiTheme="minorHAnsi" w:hAnsiTheme="minorHAnsi" w:cs="Arial"/>
                <w:sz w:val="20"/>
                <w:szCs w:val="20"/>
              </w:rPr>
              <w:t xml:space="preserve">the </w:t>
            </w:r>
            <w:r w:rsidRPr="00FC1C92">
              <w:rPr>
                <w:rFonts w:asciiTheme="minorHAnsi" w:hAnsiTheme="minorHAnsi" w:cs="Arial"/>
                <w:sz w:val="20"/>
                <w:szCs w:val="20"/>
              </w:rPr>
              <w:t>EPSRC have stopped PI/Co-I</w:t>
            </w:r>
            <w:r w:rsidR="00FC1C92" w:rsidRPr="00FC1C92">
              <w:rPr>
                <w:rFonts w:asciiTheme="minorHAnsi" w:hAnsiTheme="minorHAnsi" w:cs="Arial"/>
                <w:sz w:val="20"/>
                <w:szCs w:val="20"/>
              </w:rPr>
              <w:t>’</w:t>
            </w:r>
            <w:r w:rsidRPr="00FC1C92">
              <w:rPr>
                <w:rFonts w:asciiTheme="minorHAnsi" w:hAnsiTheme="minorHAnsi" w:cs="Arial"/>
                <w:sz w:val="20"/>
                <w:szCs w:val="20"/>
              </w:rPr>
              <w:t xml:space="preserve">s costing computers/laptops for themselves.  When claiming for Researchers/Students the justification of resources needs to explain why it's needed and </w:t>
            </w:r>
            <w:r w:rsidRPr="00FC1C92">
              <w:rPr>
                <w:rStyle w:val="Strong"/>
                <w:rFonts w:asciiTheme="minorHAnsi" w:hAnsiTheme="minorHAnsi" w:cs="Arial"/>
                <w:sz w:val="20"/>
                <w:szCs w:val="20"/>
              </w:rPr>
              <w:t>why this expense cannot be covered by the Departmental/College resources</w:t>
            </w:r>
            <w:r w:rsidR="00FC1C92" w:rsidRPr="00FC1C92">
              <w:rPr>
                <w:rStyle w:val="Strong"/>
                <w:rFonts w:asciiTheme="minorHAnsi" w:hAnsiTheme="minorHAnsi" w:cs="Arial"/>
                <w:sz w:val="20"/>
                <w:szCs w:val="20"/>
              </w:rPr>
              <w:t>.</w:t>
            </w:r>
          </w:p>
          <w:p w:rsidR="00BF75D9" w:rsidRPr="00FC1C92" w:rsidRDefault="00E550EC" w:rsidP="00FC1C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Software - n</w:t>
            </w:r>
            <w:r w:rsidR="00BF75D9" w:rsidRPr="00FC1C92">
              <w:rPr>
                <w:rFonts w:asciiTheme="minorHAnsi" w:hAnsiTheme="minorHAnsi" w:cs="Arial"/>
                <w:sz w:val="20"/>
                <w:szCs w:val="20"/>
              </w:rPr>
              <w:t>eeds to be project specific software licenses and not a contribution to a Department license which it's trying to split costs over all projects.</w:t>
            </w:r>
          </w:p>
          <w:p w:rsidR="00BF75D9" w:rsidRPr="00AF15A9" w:rsidRDefault="00BF75D9" w:rsidP="00FC1C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F75D9">
              <w:rPr>
                <w:rFonts w:asciiTheme="minorHAnsi" w:hAnsiTheme="minorHAnsi" w:cs="Arial"/>
                <w:sz w:val="20"/>
                <w:szCs w:val="20"/>
              </w:rPr>
              <w:t>The College cannot claim for maintenance/use of existing equipment unless identified as having a separate charge out rate from the Indirect rate charge. However College only has a few large equipment Facilities which have separate hourly rates (see attached charge out list) which are not included as part of the College's indirect calculation.</w:t>
            </w:r>
          </w:p>
        </w:tc>
      </w:tr>
    </w:tbl>
    <w:p w:rsidR="00FC1C92" w:rsidRDefault="00FC1C92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:rsidR="00FC1C92" w:rsidRPr="009B4181" w:rsidRDefault="009B4181" w:rsidP="009B4181">
      <w:pPr>
        <w:pStyle w:val="Header"/>
        <w:jc w:val="center"/>
        <w:rPr>
          <w:sz w:val="28"/>
          <w:szCs w:val="28"/>
          <w:u w:val="single"/>
        </w:rPr>
      </w:pPr>
      <w:r w:rsidRPr="009B4181">
        <w:rPr>
          <w:sz w:val="28"/>
          <w:szCs w:val="28"/>
          <w:u w:val="single"/>
        </w:rPr>
        <w:lastRenderedPageBreak/>
        <w:t xml:space="preserve">EUROPEAN COMMISSION - </w:t>
      </w:r>
      <w:r w:rsidR="00FC1C92" w:rsidRPr="009B4181">
        <w:rPr>
          <w:sz w:val="28"/>
          <w:szCs w:val="28"/>
          <w:u w:val="single"/>
        </w:rPr>
        <w:t>ELIGIBLE AND NON-ELIGIBLE EXPENSES</w:t>
      </w:r>
    </w:p>
    <w:p w:rsidR="002A3BD2" w:rsidRPr="00AF15A9" w:rsidRDefault="002A3BD2" w:rsidP="002A3BD2">
      <w:pPr>
        <w:rPr>
          <w:rFonts w:asciiTheme="minorHAnsi" w:hAnsiTheme="minorHAnsi"/>
          <w:sz w:val="20"/>
          <w:szCs w:val="20"/>
        </w:rPr>
      </w:pPr>
      <w:r w:rsidRPr="00AF15A9">
        <w:rPr>
          <w:rFonts w:asciiTheme="minorHAnsi" w:hAnsiTheme="minorHAnsi"/>
          <w:sz w:val="20"/>
          <w:szCs w:val="20"/>
        </w:rPr>
        <w:t> </w:t>
      </w:r>
    </w:p>
    <w:tbl>
      <w:tblPr>
        <w:tblStyle w:val="TableGrid"/>
        <w:tblW w:w="0" w:type="auto"/>
        <w:tblLook w:val="04A0"/>
      </w:tblPr>
      <w:tblGrid>
        <w:gridCol w:w="1809"/>
        <w:gridCol w:w="12365"/>
      </w:tblGrid>
      <w:tr w:rsidR="00AF15A9" w:rsidRPr="00AF15A9" w:rsidTr="00467F09">
        <w:tc>
          <w:tcPr>
            <w:tcW w:w="1809" w:type="dxa"/>
          </w:tcPr>
          <w:p w:rsidR="00AF15A9" w:rsidRPr="00AF15A9" w:rsidRDefault="00FC1C92" w:rsidP="002A3BD2">
            <w:pPr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b/>
                <w:bCs/>
                <w:sz w:val="20"/>
                <w:szCs w:val="20"/>
              </w:rPr>
              <w:t>Students</w:t>
            </w:r>
          </w:p>
        </w:tc>
        <w:tc>
          <w:tcPr>
            <w:tcW w:w="12365" w:type="dxa"/>
          </w:tcPr>
          <w:p w:rsidR="00AF15A9" w:rsidRPr="00FC1C92" w:rsidRDefault="00FC1C92" w:rsidP="00FC1C9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 w:rsidRPr="00FC1C92">
              <w:rPr>
                <w:rFonts w:asciiTheme="minorHAnsi" w:hAnsiTheme="minorHAnsi"/>
                <w:sz w:val="20"/>
                <w:szCs w:val="20"/>
              </w:rPr>
              <w:t>Inclusion of student bursary costs are strongly discouraged - postgraduate researchers should be costed at Level A of the Research and Education job family</w:t>
            </w:r>
            <w:r w:rsidR="009B418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AF15A9" w:rsidRPr="00AF15A9" w:rsidTr="00467F09">
        <w:tc>
          <w:tcPr>
            <w:tcW w:w="1809" w:type="dxa"/>
          </w:tcPr>
          <w:p w:rsidR="00AF15A9" w:rsidRPr="00AF15A9" w:rsidRDefault="00FC1C92" w:rsidP="002A3BD2">
            <w:pPr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b/>
                <w:bCs/>
                <w:sz w:val="20"/>
                <w:szCs w:val="20"/>
              </w:rPr>
              <w:t>Travel and Subsistence</w:t>
            </w:r>
          </w:p>
        </w:tc>
        <w:tc>
          <w:tcPr>
            <w:tcW w:w="12365" w:type="dxa"/>
          </w:tcPr>
          <w:p w:rsidR="00AF15A9" w:rsidRPr="00FC1C92" w:rsidRDefault="00FC1C92" w:rsidP="00FC1C9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 w:rsidRPr="00FC1C92">
              <w:rPr>
                <w:rFonts w:asciiTheme="minorHAnsi" w:hAnsiTheme="minorHAnsi"/>
                <w:sz w:val="20"/>
                <w:szCs w:val="20"/>
              </w:rPr>
              <w:t>Travel and subsistence only eligible for investigators and staff assigned to the project and incurred as a result of the project</w:t>
            </w:r>
            <w:r w:rsidR="009B418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AF15A9" w:rsidRPr="00AF15A9" w:rsidTr="00467F09">
        <w:tc>
          <w:tcPr>
            <w:tcW w:w="1809" w:type="dxa"/>
          </w:tcPr>
          <w:p w:rsidR="00AF15A9" w:rsidRPr="00AF15A9" w:rsidRDefault="00FC1C92" w:rsidP="002A3BD2">
            <w:pPr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b/>
                <w:bCs/>
                <w:sz w:val="20"/>
                <w:szCs w:val="20"/>
              </w:rPr>
              <w:t>Equipment</w:t>
            </w:r>
          </w:p>
        </w:tc>
        <w:tc>
          <w:tcPr>
            <w:tcW w:w="12365" w:type="dxa"/>
          </w:tcPr>
          <w:p w:rsidR="00FC1C92" w:rsidRPr="00AF15A9" w:rsidRDefault="00FC1C92" w:rsidP="00FC1C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sz w:val="20"/>
                <w:szCs w:val="20"/>
              </w:rPr>
              <w:t>Orders greater than £10K have to follow the College’s Competition/Tendering/Quotation thresholds</w:t>
            </w:r>
            <w:r w:rsidR="009B418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FC1C92" w:rsidRPr="00AF15A9" w:rsidRDefault="00FC1C92" w:rsidP="00FC1C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sz w:val="20"/>
                <w:szCs w:val="20"/>
              </w:rPr>
              <w:t>For all equipment and services costing more than £25K excluding VAT, professionally qualified procurement staff must be consulted before the procurement process begins</w:t>
            </w:r>
            <w:r w:rsidR="009B418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AF15A9" w:rsidRPr="00FC1C92" w:rsidRDefault="00FC1C92" w:rsidP="00FC1C9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FC1C92">
              <w:rPr>
                <w:rFonts w:asciiTheme="minorHAnsi" w:hAnsiTheme="minorHAnsi"/>
                <w:sz w:val="20"/>
                <w:szCs w:val="20"/>
              </w:rPr>
              <w:t>Reimbursement for items over £50K will follow CEC and College rules for depreciation</w:t>
            </w:r>
            <w:r w:rsidR="009B418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AF15A9" w:rsidRPr="00AF15A9" w:rsidTr="00467F09">
        <w:tc>
          <w:tcPr>
            <w:tcW w:w="1809" w:type="dxa"/>
          </w:tcPr>
          <w:p w:rsidR="00AF15A9" w:rsidRPr="00AF15A9" w:rsidRDefault="00FC1C92" w:rsidP="002A3BD2">
            <w:pPr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b/>
                <w:bCs/>
                <w:sz w:val="20"/>
                <w:szCs w:val="20"/>
              </w:rPr>
              <w:t>Some eligible costs</w:t>
            </w:r>
          </w:p>
        </w:tc>
        <w:tc>
          <w:tcPr>
            <w:tcW w:w="12365" w:type="dxa"/>
          </w:tcPr>
          <w:p w:rsidR="00AF15A9" w:rsidRDefault="00FC1C92" w:rsidP="002A3B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sz w:val="20"/>
                <w:szCs w:val="20"/>
              </w:rPr>
              <w:t>Work permits for people named in the application</w:t>
            </w:r>
            <w:r w:rsidR="009B418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2F2068" w:rsidRPr="00AF15A9" w:rsidRDefault="002F2068" w:rsidP="002F20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sz w:val="20"/>
                <w:szCs w:val="20"/>
              </w:rPr>
              <w:t>Advertising costs</w:t>
            </w:r>
            <w:r w:rsidR="009B418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2F2068" w:rsidRPr="00AF15A9" w:rsidRDefault="002F2068" w:rsidP="002F20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sz w:val="20"/>
                <w:szCs w:val="20"/>
              </w:rPr>
              <w:t>PI and Co-I salary costs</w:t>
            </w:r>
            <w:r w:rsidR="009B418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2F2068" w:rsidRPr="00FC1C92" w:rsidRDefault="002F2068" w:rsidP="002F20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sz w:val="20"/>
                <w:szCs w:val="20"/>
              </w:rPr>
              <w:t>Audit costs - necessary when CEC contribution exceeds €375K</w:t>
            </w:r>
            <w:r w:rsidR="009B418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AF15A9" w:rsidRPr="00AF15A9" w:rsidTr="00467F09">
        <w:tc>
          <w:tcPr>
            <w:tcW w:w="1809" w:type="dxa"/>
          </w:tcPr>
          <w:p w:rsidR="00AF15A9" w:rsidRPr="00AF15A9" w:rsidRDefault="00FC1C92" w:rsidP="002A3BD2">
            <w:pPr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b/>
                <w:bCs/>
                <w:sz w:val="20"/>
                <w:szCs w:val="20"/>
              </w:rPr>
              <w:t>Non-eligible costs</w:t>
            </w:r>
          </w:p>
        </w:tc>
        <w:tc>
          <w:tcPr>
            <w:tcW w:w="12365" w:type="dxa"/>
          </w:tcPr>
          <w:p w:rsidR="00FC1C92" w:rsidRPr="00AF15A9" w:rsidRDefault="00FC1C92" w:rsidP="00FC1C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sz w:val="20"/>
                <w:szCs w:val="20"/>
              </w:rPr>
              <w:t>Office consumables (e.g. photocopying, printing, stationery, etc.) are not eligible unless usage is exceptional and justified in the application</w:t>
            </w:r>
            <w:r w:rsidR="009B418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FC1C92" w:rsidRPr="00AF15A9" w:rsidRDefault="00FC1C92" w:rsidP="00FC1C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sz w:val="20"/>
                <w:szCs w:val="20"/>
              </w:rPr>
              <w:t>Computers only eligible if they perform a specific function which would not be possible with a standard College PC e.g. high-spec machines for modelling/simulation</w:t>
            </w:r>
            <w:r w:rsidR="009B418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FC1C92" w:rsidRPr="00AF15A9" w:rsidRDefault="00FC1C92" w:rsidP="00FC1C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sz w:val="20"/>
                <w:szCs w:val="20"/>
              </w:rPr>
              <w:t>Facility access charges are not eligible unless supported by a full audit trail</w:t>
            </w:r>
            <w:r w:rsidR="009B418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FC1C92" w:rsidRPr="00AF15A9" w:rsidRDefault="00FC1C92" w:rsidP="00FC1C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sz w:val="20"/>
                <w:szCs w:val="20"/>
              </w:rPr>
              <w:t>Costs associated with staff not directly involved in the project are not eligible</w:t>
            </w:r>
            <w:r w:rsidR="009B418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FC1C92" w:rsidRPr="00AF15A9" w:rsidRDefault="00FC1C92" w:rsidP="00FC1C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sz w:val="20"/>
                <w:szCs w:val="20"/>
              </w:rPr>
              <w:t>Tuition fees are not eligible</w:t>
            </w:r>
            <w:r w:rsidR="009B418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FC1C92" w:rsidRPr="00AF15A9" w:rsidRDefault="00FC1C92" w:rsidP="00FC1C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/>
                <w:sz w:val="20"/>
                <w:szCs w:val="20"/>
              </w:rPr>
              <w:t>VAT and Duties are not eligible - these must be covered by the Department</w:t>
            </w:r>
            <w:r w:rsidR="009B418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2F2068" w:rsidRDefault="00FC1C92" w:rsidP="002F20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Theme="minorHAnsi" w:hAnsiTheme="minorHAnsi" w:cs="Arial"/>
                <w:sz w:val="20"/>
                <w:szCs w:val="20"/>
              </w:rPr>
            </w:pPr>
            <w:r w:rsidRPr="002F2068">
              <w:rPr>
                <w:rFonts w:asciiTheme="minorHAnsi" w:hAnsiTheme="minorHAnsi" w:cs="Arial"/>
                <w:sz w:val="20"/>
                <w:szCs w:val="20"/>
              </w:rPr>
              <w:t>Again office stationery including courier charges.  This is an issue as the Commission expects all official documents submitted between partners and to the Commission to be sent by courier.</w:t>
            </w:r>
          </w:p>
          <w:p w:rsidR="00FC1C92" w:rsidRPr="002F2068" w:rsidRDefault="00FC1C92" w:rsidP="002F20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Theme="minorHAnsi" w:hAnsiTheme="minorHAnsi" w:cs="Arial"/>
                <w:sz w:val="20"/>
                <w:szCs w:val="20"/>
              </w:rPr>
            </w:pPr>
            <w:r w:rsidRPr="002F2068">
              <w:rPr>
                <w:rFonts w:asciiTheme="minorHAnsi" w:hAnsiTheme="minorHAnsi" w:cs="Arial"/>
                <w:sz w:val="20"/>
                <w:szCs w:val="20"/>
              </w:rPr>
              <w:t>Laptops/Computers - Commission view this to now be part of the basic infrastructure of an organisation.  Can try and claim/justify non-standard high end computers when required otherwise basic computing they do not like.</w:t>
            </w:r>
          </w:p>
          <w:p w:rsidR="002F2068" w:rsidRPr="002F2068" w:rsidRDefault="00FC1C92" w:rsidP="002F20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Theme="minorHAnsi" w:hAnsiTheme="minorHAnsi"/>
                <w:sz w:val="20"/>
                <w:szCs w:val="20"/>
              </w:rPr>
            </w:pPr>
            <w:r w:rsidRPr="00AF15A9">
              <w:rPr>
                <w:rFonts w:asciiTheme="minorHAnsi" w:hAnsiTheme="minorHAnsi" w:cs="Arial"/>
                <w:sz w:val="20"/>
                <w:szCs w:val="20"/>
              </w:rPr>
              <w:t>VAT + other taxes including airport taxes - the Commission will not pay. When charged directly to the account, these get removed by the auditors when picked up.</w:t>
            </w:r>
          </w:p>
          <w:p w:rsidR="00AF15A9" w:rsidRPr="002F2068" w:rsidRDefault="00FC1C92" w:rsidP="002F20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Theme="minorHAnsi" w:hAnsiTheme="minorHAnsi"/>
                <w:sz w:val="20"/>
                <w:szCs w:val="20"/>
              </w:rPr>
            </w:pPr>
            <w:r w:rsidRPr="002F2068">
              <w:rPr>
                <w:rFonts w:asciiTheme="minorHAnsi" w:hAnsiTheme="minorHAnsi" w:cs="Arial"/>
                <w:sz w:val="20"/>
                <w:szCs w:val="20"/>
              </w:rPr>
              <w:t>The Commission also does not like internal transactions (like catering, room hire, use of facilities), they want to make sure no profit margin/mark up is being applied by the organisation.  I believe the College EU auditors (KPMG) now discount/remove approx 30% of any catering charge to take off the mark up which College applies. Therefore more adviseable to order catering i.e. lunch time sandwiches for a project meeting from an external organisation like Pret A Manger as we can recover the full cost rather than the Department eventually picking up some of it.</w:t>
            </w:r>
          </w:p>
        </w:tc>
      </w:tr>
    </w:tbl>
    <w:p w:rsidR="002A3BD2" w:rsidRPr="00AF15A9" w:rsidRDefault="002A3BD2" w:rsidP="009B4181">
      <w:pPr>
        <w:rPr>
          <w:rFonts w:asciiTheme="minorHAnsi" w:hAnsiTheme="minorHAnsi"/>
          <w:sz w:val="20"/>
          <w:szCs w:val="20"/>
        </w:rPr>
      </w:pPr>
    </w:p>
    <w:sectPr w:rsidR="002A3BD2" w:rsidRPr="00AF15A9" w:rsidSect="002F2068">
      <w:footerReference w:type="default" r:id="rId7"/>
      <w:pgSz w:w="16838" w:h="11906" w:orient="landscape"/>
      <w:pgMar w:top="113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FB4" w:rsidRDefault="00057FB4" w:rsidP="002A3BD2">
      <w:r>
        <w:separator/>
      </w:r>
    </w:p>
  </w:endnote>
  <w:endnote w:type="continuationSeparator" w:id="0">
    <w:p w:rsidR="00057FB4" w:rsidRDefault="00057FB4" w:rsidP="002A3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4938"/>
      <w:docPartObj>
        <w:docPartGallery w:val="Page Numbers (Bottom of Page)"/>
        <w:docPartUnique/>
      </w:docPartObj>
    </w:sdtPr>
    <w:sdtContent>
      <w:p w:rsidR="002A3BD2" w:rsidRDefault="00F26432">
        <w:pPr>
          <w:pStyle w:val="Footer"/>
          <w:jc w:val="right"/>
        </w:pPr>
        <w:fldSimple w:instr=" PAGE   \* MERGEFORMAT ">
          <w:r w:rsidR="00467F09">
            <w:rPr>
              <w:noProof/>
            </w:rPr>
            <w:t>1</w:t>
          </w:r>
        </w:fldSimple>
      </w:p>
    </w:sdtContent>
  </w:sdt>
  <w:p w:rsidR="002A3BD2" w:rsidRDefault="002A3B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FB4" w:rsidRDefault="00057FB4" w:rsidP="002A3BD2">
      <w:r>
        <w:separator/>
      </w:r>
    </w:p>
  </w:footnote>
  <w:footnote w:type="continuationSeparator" w:id="0">
    <w:p w:rsidR="00057FB4" w:rsidRDefault="00057FB4" w:rsidP="002A3B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4CF8"/>
    <w:multiLevelType w:val="hybridMultilevel"/>
    <w:tmpl w:val="2CB8F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C3141"/>
    <w:multiLevelType w:val="hybridMultilevel"/>
    <w:tmpl w:val="EDCE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9265E"/>
    <w:multiLevelType w:val="hybridMultilevel"/>
    <w:tmpl w:val="39386A72"/>
    <w:lvl w:ilvl="0" w:tplc="354C09A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434BD"/>
    <w:multiLevelType w:val="hybridMultilevel"/>
    <w:tmpl w:val="141CE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D203BD"/>
    <w:multiLevelType w:val="hybridMultilevel"/>
    <w:tmpl w:val="1A34B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C47DBA"/>
    <w:multiLevelType w:val="hybridMultilevel"/>
    <w:tmpl w:val="344C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A26"/>
    <w:rsid w:val="00057FB4"/>
    <w:rsid w:val="001373A6"/>
    <w:rsid w:val="001B3E7C"/>
    <w:rsid w:val="002A3BD2"/>
    <w:rsid w:val="002F2068"/>
    <w:rsid w:val="003440E6"/>
    <w:rsid w:val="00467F09"/>
    <w:rsid w:val="00543A06"/>
    <w:rsid w:val="006774E1"/>
    <w:rsid w:val="0071770C"/>
    <w:rsid w:val="007B0C2F"/>
    <w:rsid w:val="00816A26"/>
    <w:rsid w:val="00865478"/>
    <w:rsid w:val="009B4181"/>
    <w:rsid w:val="00AC58AC"/>
    <w:rsid w:val="00AF15A9"/>
    <w:rsid w:val="00AF173E"/>
    <w:rsid w:val="00B01E37"/>
    <w:rsid w:val="00BF75D9"/>
    <w:rsid w:val="00D22FF6"/>
    <w:rsid w:val="00E550EC"/>
    <w:rsid w:val="00E9720B"/>
    <w:rsid w:val="00F26432"/>
    <w:rsid w:val="00F530D0"/>
    <w:rsid w:val="00FC1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BD2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BD2"/>
    <w:pPr>
      <w:spacing w:after="200" w:line="276" w:lineRule="auto"/>
      <w:ind w:left="720"/>
    </w:pPr>
  </w:style>
  <w:style w:type="character" w:styleId="Strong">
    <w:name w:val="Strong"/>
    <w:basedOn w:val="DefaultParagraphFont"/>
    <w:uiPriority w:val="22"/>
    <w:qFormat/>
    <w:rsid w:val="002A3BD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A3B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BD2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A3B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BD2"/>
    <w:rPr>
      <w:rFonts w:ascii="Calibri" w:hAnsi="Calibri" w:cs="Times New Roman"/>
      <w:lang w:eastAsia="en-GB"/>
    </w:rPr>
  </w:style>
  <w:style w:type="table" w:styleId="TableGrid">
    <w:name w:val="Table Grid"/>
    <w:basedOn w:val="TableNormal"/>
    <w:uiPriority w:val="59"/>
    <w:rsid w:val="00AF1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293874EA34449A79ED09CFA8AB7C5" ma:contentTypeVersion="0" ma:contentTypeDescription="Create a new document." ma:contentTypeScope="" ma:versionID="b1c9ffb44cec998342133233ef437d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47F56A5-B608-4C97-AA96-9B56FCFFE9E0}"/>
</file>

<file path=customXml/itemProps2.xml><?xml version="1.0" encoding="utf-8"?>
<ds:datastoreItem xmlns:ds="http://schemas.openxmlformats.org/officeDocument/2006/customXml" ds:itemID="{B5D551DD-BA8F-4E7E-B7EC-34F53971BC5D}"/>
</file>

<file path=customXml/itemProps3.xml><?xml version="1.0" encoding="utf-8"?>
<ds:datastoreItem xmlns:ds="http://schemas.openxmlformats.org/officeDocument/2006/customXml" ds:itemID="{319FD183-0AD5-4C02-9EEB-D7EF597D4F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Rahman</dc:creator>
  <cp:keywords/>
  <dc:description/>
  <cp:lastModifiedBy>Rebecca Rahman</cp:lastModifiedBy>
  <cp:revision>8</cp:revision>
  <dcterms:created xsi:type="dcterms:W3CDTF">2010-08-17T13:24:00Z</dcterms:created>
  <dcterms:modified xsi:type="dcterms:W3CDTF">2010-08-19T09:39:00Z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0x0101006D1293874EA34449A79ED09CFA8AB7C5</vt:lpwstr>
  </property>
</Properties>
</file>