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FF602" w14:textId="76F4C17D" w:rsidR="008C222E" w:rsidRPr="00542C27" w:rsidRDefault="008C222E" w:rsidP="00542C27">
      <w:pPr>
        <w:jc w:val="center"/>
        <w:rPr>
          <w:b/>
        </w:rPr>
      </w:pPr>
      <w:r w:rsidRPr="00542C27">
        <w:rPr>
          <w:b/>
        </w:rPr>
        <w:t>MUSE-SGI</w:t>
      </w:r>
      <w:r w:rsidR="00542C27" w:rsidRPr="00542C27">
        <w:rPr>
          <w:b/>
        </w:rPr>
        <w:t xml:space="preserve"> </w:t>
      </w:r>
      <w:r w:rsidR="00CC6FC1">
        <w:rPr>
          <w:b/>
        </w:rPr>
        <w:t>Non-</w:t>
      </w:r>
      <w:r w:rsidR="00720E6B">
        <w:rPr>
          <w:b/>
        </w:rPr>
        <w:t>Technical</w:t>
      </w:r>
      <w:r w:rsidR="00CC6FC1">
        <w:rPr>
          <w:b/>
        </w:rPr>
        <w:t xml:space="preserve"> </w:t>
      </w:r>
      <w:r w:rsidR="00720E6B">
        <w:rPr>
          <w:b/>
        </w:rPr>
        <w:t>Overview</w:t>
      </w:r>
    </w:p>
    <w:p w14:paraId="33FC2426" w14:textId="7408E204" w:rsidR="008C222E" w:rsidRDefault="00667166" w:rsidP="00542C27">
      <w:pPr>
        <w:jc w:val="center"/>
        <w:rPr>
          <w:b/>
        </w:rPr>
      </w:pPr>
      <w:r>
        <w:rPr>
          <w:b/>
        </w:rPr>
        <w:t>Industry</w:t>
      </w:r>
      <w:r w:rsidR="00756CD1">
        <w:rPr>
          <w:b/>
        </w:rPr>
        <w:t xml:space="preserve"> Sector</w:t>
      </w:r>
      <w:r w:rsidR="008C222E" w:rsidRPr="00542C27">
        <w:rPr>
          <w:b/>
        </w:rPr>
        <w:t xml:space="preserve"> Module</w:t>
      </w:r>
    </w:p>
    <w:p w14:paraId="6B03A5C9" w14:textId="16C69EBA" w:rsidR="008C222E" w:rsidRDefault="00CB3911" w:rsidP="008C222E">
      <w:pPr>
        <w:pStyle w:val="Heading1"/>
      </w:pPr>
      <w:r>
        <w:t>Context</w:t>
      </w:r>
    </w:p>
    <w:p w14:paraId="28B93BDB" w14:textId="77777777" w:rsidR="006613F6" w:rsidRPr="002D5508" w:rsidRDefault="006613F6" w:rsidP="006613F6">
      <w:r w:rsidRPr="002D5508">
        <w:t xml:space="preserve">Projected growing demands for goods and stricter calls for GHG emissions cuts are challenging the development of industries worldwide. The industrial sector energy demand </w:t>
      </w:r>
      <w:proofErr w:type="gramStart"/>
      <w:r w:rsidRPr="002D5508">
        <w:t>is expected</w:t>
      </w:r>
      <w:proofErr w:type="gramEnd"/>
      <w:r w:rsidRPr="002D5508">
        <w:t xml:space="preserve"> to increase up to 31.3-31.4 % of the total final consumption by 2040 on a global scale. This upwards trend will be more relevant in the developing countries, particularly those characterised by rapid economic growth like China [1].</w:t>
      </w:r>
    </w:p>
    <w:p w14:paraId="2D2F279D" w14:textId="77777777" w:rsidR="006613F6" w:rsidRDefault="006613F6" w:rsidP="002D5508">
      <w:r w:rsidRPr="002D5508">
        <w:t>Historically, the industrial sector has shown progress in the energy efficiency and waste reduction in order to produce goods at a cheaper cost. In this context, electrification and increased efficiency have proven to be suitable options to reduce energy and environmental impacts [2]. However, stringent regulations on carbon will urge this sector to promote technological change at an unprecedented rate compared to the past, prioritising key targets for investments in RD&amp;D that will go beyond the sole cost reduction.</w:t>
      </w:r>
    </w:p>
    <w:p w14:paraId="421BE821" w14:textId="019BBD91" w:rsidR="00846828" w:rsidRDefault="00ED6AB3" w:rsidP="001A61D5">
      <w:pPr>
        <w:pStyle w:val="Heading1"/>
      </w:pPr>
      <w:r>
        <w:t>Problem Statement</w:t>
      </w:r>
    </w:p>
    <w:p w14:paraId="5C17B8FA" w14:textId="41475C0C" w:rsidR="00A82CE3" w:rsidRDefault="00D15AC7" w:rsidP="00D15AC7">
      <w:r w:rsidRPr="00132BBF">
        <w:t xml:space="preserve">Within the MUSE modelling environment, the </w:t>
      </w:r>
      <w:r w:rsidR="00667166">
        <w:t>industry</w:t>
      </w:r>
      <w:r w:rsidRPr="00132BBF">
        <w:t xml:space="preserve"> sector module</w:t>
      </w:r>
      <w:r>
        <w:t>,</w:t>
      </w:r>
      <w:r w:rsidRPr="00132BBF">
        <w:t xml:space="preserve"> </w:t>
      </w:r>
      <w:r w:rsidR="00667166">
        <w:t>I</w:t>
      </w:r>
      <w:r>
        <w:t>SM,</w:t>
      </w:r>
      <w:r w:rsidRPr="00132BBF">
        <w:t xml:space="preserve"> </w:t>
      </w:r>
      <w:r w:rsidRPr="00D15AC7">
        <w:t>model</w:t>
      </w:r>
      <w:r w:rsidR="00710B58">
        <w:t>s</w:t>
      </w:r>
      <w:r w:rsidRPr="00D15AC7">
        <w:t xml:space="preserve"> </w:t>
      </w:r>
      <w:r w:rsidR="001A61D5">
        <w:t xml:space="preserve">the </w:t>
      </w:r>
      <w:r w:rsidRPr="00D15AC7">
        <w:t xml:space="preserve">production </w:t>
      </w:r>
      <w:r w:rsidR="007C0A1D">
        <w:t xml:space="preserve">of </w:t>
      </w:r>
      <w:r w:rsidR="0022710A" w:rsidRPr="0022710A">
        <w:t>material</w:t>
      </w:r>
      <w:r w:rsidR="00272A55" w:rsidRPr="0022710A">
        <w:t xml:space="preserve"> commodities</w:t>
      </w:r>
      <w:r w:rsidR="00710B58">
        <w:t xml:space="preserve"> (i.e. industrial goods). It includes</w:t>
      </w:r>
      <w:r w:rsidRPr="0022710A">
        <w:t xml:space="preserve"> </w:t>
      </w:r>
      <w:r w:rsidR="00A8265D">
        <w:t>non-metallic minerals</w:t>
      </w:r>
      <w:r w:rsidR="0022710A" w:rsidRPr="0022710A">
        <w:t xml:space="preserve">, </w:t>
      </w:r>
      <w:r w:rsidR="00A8265D">
        <w:t xml:space="preserve">non-ferrous metals, </w:t>
      </w:r>
      <w:r w:rsidR="0022710A" w:rsidRPr="0022710A">
        <w:t>iron and steel, pulp and paper and chemical and petrochemical products</w:t>
      </w:r>
      <w:r w:rsidRPr="0022710A">
        <w:t>.</w:t>
      </w:r>
    </w:p>
    <w:p w14:paraId="1B4D80F7" w14:textId="2DE475C5" w:rsidR="001A61D5" w:rsidRDefault="00016D93" w:rsidP="00D15AC7">
      <w:r w:rsidRPr="00016D93">
        <w:t>The purpose of the ISM is to project future demand for material commodities on a global scale, disaggregated into regions and temporally resolved int</w:t>
      </w:r>
      <w:r>
        <w:t xml:space="preserve">o </w:t>
      </w:r>
      <w:proofErr w:type="spellStart"/>
      <w:r>
        <w:t>timeslices</w:t>
      </w:r>
      <w:proofErr w:type="spellEnd"/>
      <w:r>
        <w:t xml:space="preserve">, </w:t>
      </w:r>
      <w:bookmarkStart w:id="0" w:name="_GoBack"/>
      <w:r>
        <w:t>using historical trends dependent</w:t>
      </w:r>
      <w:r w:rsidRPr="00016D93">
        <w:t xml:space="preserve"> on a time series of macroeconomic drivers</w:t>
      </w:r>
      <w:bookmarkEnd w:id="0"/>
      <w:r w:rsidRPr="00016D93">
        <w:t>.</w:t>
      </w:r>
      <w:r w:rsidR="009A2A90" w:rsidRPr="009A2A90">
        <w:t xml:space="preserve"> In </w:t>
      </w:r>
      <w:r w:rsidR="009A2A90" w:rsidRPr="009A2A90">
        <w:t>addition, the ISM uses an agent based modelling approach to simulate realistic decision-making in the operation of assets as well as investment in capacity addition to meet the commodity demand, considering the decommissionin</w:t>
      </w:r>
      <w:r w:rsidR="009A2A90">
        <w:t>g profile of the existing stock</w:t>
      </w:r>
      <w:r w:rsidR="009A2A90" w:rsidRPr="009A2A90">
        <w:t>. The ISM applies a bottom-up approach to technology modelling in order to capture effects of changes in techno</w:t>
      </w:r>
      <w:r w:rsidR="009A2A90">
        <w:t>logy performance and regulation</w:t>
      </w:r>
      <w:r w:rsidR="001A61D5" w:rsidRPr="00132BBF">
        <w:t>.</w:t>
      </w:r>
    </w:p>
    <w:p w14:paraId="2E07BA75" w14:textId="24FC9C93" w:rsidR="00D611AA" w:rsidRDefault="00D611AA" w:rsidP="00D611AA">
      <w:pPr>
        <w:pStyle w:val="Heading1"/>
      </w:pPr>
      <w:r>
        <w:t>Module Approach</w:t>
      </w:r>
    </w:p>
    <w:p w14:paraId="63E92682" w14:textId="4F0B7468" w:rsidR="00243FEB" w:rsidRDefault="00132BBF" w:rsidP="001F5628">
      <w:r w:rsidRPr="00132BBF">
        <w:t xml:space="preserve">The </w:t>
      </w:r>
      <w:r w:rsidR="000C7225">
        <w:t>I</w:t>
      </w:r>
      <w:r w:rsidR="00C37494">
        <w:t>SM</w:t>
      </w:r>
      <w:r w:rsidRPr="00132BBF">
        <w:t xml:space="preserve"> </w:t>
      </w:r>
      <w:proofErr w:type="gramStart"/>
      <w:r w:rsidRPr="00132BBF">
        <w:t>is based</w:t>
      </w:r>
      <w:proofErr w:type="gramEnd"/>
      <w:r w:rsidRPr="00132BBF">
        <w:t xml:space="preserve"> on a two-step simulation approach to model </w:t>
      </w:r>
      <w:r w:rsidR="00664A3B">
        <w:t>investment decisions</w:t>
      </w:r>
      <w:r w:rsidRPr="00132BBF">
        <w:t xml:space="preserve"> and operating </w:t>
      </w:r>
      <w:r w:rsidR="00664A3B">
        <w:t>strategies</w:t>
      </w:r>
      <w:r w:rsidRPr="00132BBF">
        <w:t xml:space="preserve"> </w:t>
      </w:r>
      <w:r w:rsidR="00243FEB">
        <w:t>representing</w:t>
      </w:r>
      <w:r w:rsidRPr="00132BBF">
        <w:t xml:space="preserve"> real investors' behaviour in the market.</w:t>
      </w:r>
      <w:r w:rsidR="00161989">
        <w:t xml:space="preserve"> </w:t>
      </w:r>
      <w:r w:rsidR="00243FEB">
        <w:t xml:space="preserve">In a first instance, the ISM </w:t>
      </w:r>
      <w:r w:rsidR="00566275">
        <w:t xml:space="preserve">uses historical trends and macroeconomic driver </w:t>
      </w:r>
      <w:proofErr w:type="spellStart"/>
      <w:r w:rsidR="00566275">
        <w:t>timeseries</w:t>
      </w:r>
      <w:proofErr w:type="spellEnd"/>
      <w:r w:rsidR="00566275">
        <w:t xml:space="preserve"> to project future demand for industrial goods on a global scale with a regional disaggregation.</w:t>
      </w:r>
    </w:p>
    <w:p w14:paraId="430D7325" w14:textId="24FDDCE7" w:rsidR="00566275" w:rsidRDefault="00012F07" w:rsidP="001F5628">
      <w:r w:rsidRPr="00012F07">
        <w:t xml:space="preserve">The ISM applies a merit-order approach based on net present value (NPV) to simulate the production of material commodities. As such, the demand for material commodities </w:t>
      </w:r>
      <w:proofErr w:type="gramStart"/>
      <w:r w:rsidRPr="00012F07">
        <w:t>is first covered</w:t>
      </w:r>
      <w:proofErr w:type="gramEnd"/>
      <w:r w:rsidRPr="00012F07">
        <w:t xml:space="preserve"> by the processes with the highest profit and then by the less profitable ones until demand is fulfilled. Based on the mix of technologies used, the required amount of fuels is determined. The market strike price of the produced commodities is determined at the balance point between demand and supply and reflect the production costs, which ultimately depend on te</w:t>
      </w:r>
      <w:r>
        <w:t>chnology mix and fuel portfolio</w:t>
      </w:r>
      <w:r w:rsidR="002578B9">
        <w:t>.</w:t>
      </w:r>
    </w:p>
    <w:p w14:paraId="154F8756" w14:textId="35FD0C42" w:rsidR="00B0128D" w:rsidRDefault="00132BBF" w:rsidP="001F5628">
      <w:r w:rsidRPr="00132BBF">
        <w:t>Th</w:t>
      </w:r>
      <w:r w:rsidR="00A8265D">
        <w:t>e decision on investment in new assets</w:t>
      </w:r>
      <w:r w:rsidR="00566275">
        <w:t xml:space="preserve"> to meet future demand takes into account the decommissioning</w:t>
      </w:r>
      <w:r w:rsidR="002578B9">
        <w:t xml:space="preserve"> profile of the existing stock and reflects changes in policies and technological </w:t>
      </w:r>
      <w:r w:rsidR="00FF5C4E">
        <w:t>innovation.</w:t>
      </w:r>
    </w:p>
    <w:p w14:paraId="3032A176" w14:textId="7DA6E9D5" w:rsidR="008C222E" w:rsidRDefault="008C222E" w:rsidP="008C222E">
      <w:pPr>
        <w:pStyle w:val="Heading1"/>
      </w:pPr>
      <w:r>
        <w:lastRenderedPageBreak/>
        <w:t>Relationship with MUSE Modules</w:t>
      </w:r>
    </w:p>
    <w:p w14:paraId="66A189A2" w14:textId="77777777" w:rsidR="00D15789" w:rsidRDefault="00132BBF" w:rsidP="00DD6AE1">
      <w:r w:rsidRPr="00132BBF">
        <w:t xml:space="preserve">The </w:t>
      </w:r>
      <w:r w:rsidR="00836135">
        <w:t>I</w:t>
      </w:r>
      <w:r w:rsidR="00734EA8">
        <w:t>SM</w:t>
      </w:r>
      <w:r w:rsidRPr="00132BBF">
        <w:t xml:space="preserve"> module dynamically exchanges a set of variables with the Market Clearing Algorithm (</w:t>
      </w:r>
      <w:r w:rsidR="00F27088">
        <w:t>MCA</w:t>
      </w:r>
      <w:r w:rsidRPr="00132BBF">
        <w:t>) in MUSE to determine the price in every modelled region</w:t>
      </w:r>
      <w:r w:rsidR="00886EC9">
        <w:t xml:space="preserve"> per </w:t>
      </w:r>
      <w:proofErr w:type="gramStart"/>
      <w:r w:rsidR="00886EC9">
        <w:t>time period</w:t>
      </w:r>
      <w:proofErr w:type="gramEnd"/>
      <w:r w:rsidR="00886EC9">
        <w:t xml:space="preserve"> and </w:t>
      </w:r>
      <w:proofErr w:type="spellStart"/>
      <w:r w:rsidR="00886EC9">
        <w:t>timeslice</w:t>
      </w:r>
      <w:proofErr w:type="spellEnd"/>
      <w:r w:rsidRPr="00132BBF">
        <w:t>.</w:t>
      </w:r>
    </w:p>
    <w:p w14:paraId="0AD8CC65" w14:textId="47CC15C5" w:rsidR="00D15789" w:rsidRDefault="00132BBF" w:rsidP="00DD6AE1">
      <w:r w:rsidRPr="00132BBF">
        <w:t xml:space="preserve">A snapshot of the data workflow for a generic iteration in a generic </w:t>
      </w:r>
      <w:proofErr w:type="gramStart"/>
      <w:r w:rsidRPr="00132BBF">
        <w:t>time period</w:t>
      </w:r>
      <w:proofErr w:type="gramEnd"/>
      <w:r w:rsidR="00886EC9">
        <w:t>,</w:t>
      </w:r>
      <w:r w:rsidRPr="00132BBF">
        <w:t xml:space="preserve"> </w:t>
      </w:r>
      <w:proofErr w:type="spellStart"/>
      <w:r w:rsidRPr="00132BBF">
        <w:t>timeslice</w:t>
      </w:r>
      <w:proofErr w:type="spellEnd"/>
      <w:r w:rsidRPr="00132BBF">
        <w:t xml:space="preserve"> </w:t>
      </w:r>
      <w:r w:rsidR="00886EC9">
        <w:t xml:space="preserve">and region </w:t>
      </w:r>
      <w:r w:rsidRPr="00132BBF">
        <w:t xml:space="preserve">is shown in Figure </w:t>
      </w:r>
      <w:r w:rsidR="00F27088">
        <w:t>1.</w:t>
      </w:r>
      <w:r w:rsidR="00DD6AE1" w:rsidRPr="00DD6AE1">
        <w:t xml:space="preserve"> </w:t>
      </w:r>
      <w:r w:rsidR="00DD6AE1" w:rsidRPr="00132BBF">
        <w:t xml:space="preserve">The module uploads exogenous parameters for the techno-economic and environmental characterisation of each </w:t>
      </w:r>
      <w:r w:rsidR="00065A4B">
        <w:t>process</w:t>
      </w:r>
      <w:r w:rsidR="00065A4B" w:rsidRPr="00132BBF">
        <w:t xml:space="preserve"> </w:t>
      </w:r>
      <w:r w:rsidR="00DD6AE1" w:rsidRPr="00132BBF">
        <w:t>type per region</w:t>
      </w:r>
      <w:r w:rsidR="00065A4B">
        <w:t xml:space="preserve"> in the base year as well as projected improvements in the next simulation periods</w:t>
      </w:r>
      <w:r w:rsidR="00DD6AE1" w:rsidRPr="00132BBF">
        <w:t>.</w:t>
      </w:r>
    </w:p>
    <w:p w14:paraId="11F10E46" w14:textId="3A55F0B7" w:rsidR="00FC2259" w:rsidRDefault="00DD6AE1" w:rsidP="00DD6AE1">
      <w:r>
        <w:t xml:space="preserve">The </w:t>
      </w:r>
      <w:r w:rsidRPr="00132BBF">
        <w:t xml:space="preserve">data exchange protocol </w:t>
      </w:r>
      <w:r>
        <w:t xml:space="preserve">between the </w:t>
      </w:r>
      <w:r w:rsidR="000C7225">
        <w:t>I</w:t>
      </w:r>
      <w:r>
        <w:t>SM and the next modules in MUSE is in Table 1</w:t>
      </w:r>
      <w:r w:rsidRPr="00132BBF">
        <w:t>.</w:t>
      </w:r>
    </w:p>
    <w:p w14:paraId="37C8EC68" w14:textId="660EE3BD" w:rsidR="004F043C" w:rsidRDefault="00D15789" w:rsidP="00AA7532">
      <w:r>
        <w:rPr>
          <w:noProof/>
          <w:lang w:eastAsia="en-GB"/>
        </w:rPr>
        <mc:AlternateContent>
          <mc:Choice Requires="wps">
            <w:drawing>
              <wp:anchor distT="0" distB="0" distL="114300" distR="114300" simplePos="0" relativeHeight="251663360" behindDoc="0" locked="0" layoutInCell="1" allowOverlap="1" wp14:anchorId="50E98C4E" wp14:editId="1CDAF73F">
                <wp:simplePos x="0" y="0"/>
                <wp:positionH relativeFrom="margin">
                  <wp:posOffset>3200400</wp:posOffset>
                </wp:positionH>
                <wp:positionV relativeFrom="paragraph">
                  <wp:posOffset>83820</wp:posOffset>
                </wp:positionV>
                <wp:extent cx="2476500" cy="571500"/>
                <wp:effectExtent l="0" t="0" r="0" b="0"/>
                <wp:wrapNone/>
                <wp:docPr id="13" name="TextBox 5"/>
                <wp:cNvGraphicFramePr/>
                <a:graphic xmlns:a="http://schemas.openxmlformats.org/drawingml/2006/main">
                  <a:graphicData uri="http://schemas.microsoft.com/office/word/2010/wordprocessingShape">
                    <wps:wsp>
                      <wps:cNvSpPr txBox="1"/>
                      <wps:spPr>
                        <a:xfrm>
                          <a:off x="0" y="0"/>
                          <a:ext cx="2476500" cy="571500"/>
                        </a:xfrm>
                        <a:prstGeom prst="rect">
                          <a:avLst/>
                        </a:prstGeom>
                        <a:noFill/>
                      </wps:spPr>
                      <wps:txbx>
                        <w:txbxContent>
                          <w:p w14:paraId="6C0F171E" w14:textId="2E215139" w:rsidR="00D15789" w:rsidRDefault="00D15789" w:rsidP="00FC2259">
                            <w:pPr>
                              <w:pStyle w:val="NormalWeb"/>
                              <w:spacing w:before="0" w:beforeAutospacing="0" w:after="0" w:afterAutospacing="0"/>
                              <w:rPr>
                                <w:rFonts w:asciiTheme="minorHAnsi" w:hAnsi="Calibri" w:cstheme="minorBidi"/>
                                <w:bCs/>
                                <w:color w:val="000000" w:themeColor="text1"/>
                                <w:kern w:val="24"/>
                                <w:sz w:val="20"/>
                              </w:rPr>
                            </w:pPr>
                            <w:proofErr w:type="gramStart"/>
                            <w:r>
                              <w:rPr>
                                <w:rFonts w:asciiTheme="minorHAnsi" w:hAnsi="Calibri" w:cstheme="minorBidi"/>
                                <w:bCs/>
                                <w:color w:val="000000" w:themeColor="text1"/>
                                <w:kern w:val="24"/>
                                <w:sz w:val="20"/>
                              </w:rPr>
                              <w:t>forward</w:t>
                            </w:r>
                            <w:proofErr w:type="gramEnd"/>
                            <w:r>
                              <w:rPr>
                                <w:rFonts w:asciiTheme="minorHAnsi" w:hAnsi="Calibri" w:cstheme="minorBidi"/>
                                <w:bCs/>
                                <w:color w:val="000000" w:themeColor="text1"/>
                                <w:kern w:val="24"/>
                                <w:sz w:val="20"/>
                              </w:rPr>
                              <w:t xml:space="preserve"> </w:t>
                            </w:r>
                            <w:r w:rsidR="00FC2259" w:rsidRPr="00745F01">
                              <w:rPr>
                                <w:rFonts w:asciiTheme="minorHAnsi" w:hAnsi="Calibri" w:cstheme="minorBidi"/>
                                <w:bCs/>
                                <w:color w:val="000000" w:themeColor="text1"/>
                                <w:kern w:val="24"/>
                                <w:sz w:val="20"/>
                              </w:rPr>
                              <w:t xml:space="preserve">demand for </w:t>
                            </w:r>
                            <w:r>
                              <w:rPr>
                                <w:rFonts w:asciiTheme="minorHAnsi" w:hAnsi="Calibri" w:cstheme="minorBidi"/>
                                <w:bCs/>
                                <w:color w:val="000000" w:themeColor="text1"/>
                                <w:kern w:val="24"/>
                                <w:sz w:val="20"/>
                              </w:rPr>
                              <w:t>fuels</w:t>
                            </w:r>
                            <w:r w:rsidR="00FC2259" w:rsidRPr="00745F01">
                              <w:rPr>
                                <w:rFonts w:asciiTheme="minorHAnsi" w:hAnsi="Calibri" w:cstheme="minorBidi"/>
                                <w:bCs/>
                                <w:color w:val="000000" w:themeColor="text1"/>
                                <w:kern w:val="24"/>
                                <w:sz w:val="20"/>
                              </w:rPr>
                              <w:t>,</w:t>
                            </w:r>
                          </w:p>
                          <w:p w14:paraId="08BA094E" w14:textId="2A00C6B6" w:rsidR="00FC2259" w:rsidRPr="000D28D3" w:rsidRDefault="00D15789" w:rsidP="00FC2259">
                            <w:pPr>
                              <w:pStyle w:val="NormalWeb"/>
                              <w:spacing w:before="0" w:beforeAutospacing="0" w:after="0" w:afterAutospacing="0"/>
                              <w:rPr>
                                <w:sz w:val="20"/>
                              </w:rPr>
                            </w:pPr>
                            <w:proofErr w:type="gramStart"/>
                            <w:r>
                              <w:rPr>
                                <w:rFonts w:asciiTheme="minorHAnsi" w:hAnsi="Calibri" w:cstheme="minorBidi"/>
                                <w:bCs/>
                                <w:color w:val="000000" w:themeColor="text1"/>
                                <w:kern w:val="24"/>
                                <w:sz w:val="20"/>
                              </w:rPr>
                              <w:t>forward</w:t>
                            </w:r>
                            <w:proofErr w:type="gramEnd"/>
                            <w:r>
                              <w:rPr>
                                <w:rFonts w:asciiTheme="minorHAnsi" w:hAnsi="Calibri" w:cstheme="minorBidi"/>
                                <w:bCs/>
                                <w:color w:val="000000" w:themeColor="text1"/>
                                <w:kern w:val="24"/>
                                <w:sz w:val="20"/>
                              </w:rPr>
                              <w:t xml:space="preserve"> </w:t>
                            </w:r>
                            <w:r w:rsidR="00FC2259" w:rsidRPr="00745F01">
                              <w:rPr>
                                <w:rFonts w:asciiTheme="minorHAnsi" w:hAnsi="Calibri" w:cstheme="minorBidi"/>
                                <w:bCs/>
                                <w:color w:val="000000" w:themeColor="text1"/>
                                <w:kern w:val="24"/>
                                <w:sz w:val="20"/>
                              </w:rPr>
                              <w:t>emissions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0E98C4E" id="_x0000_t202" coordsize="21600,21600" o:spt="202" path="m,l,21600r21600,l21600,xe">
                <v:stroke joinstyle="miter"/>
                <v:path gradientshapeok="t" o:connecttype="rect"/>
              </v:shapetype>
              <v:shape id="TextBox 5" o:spid="_x0000_s1026" type="#_x0000_t202" style="position:absolute;left:0;text-align:left;margin-left:252pt;margin-top:6.6pt;width:195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" filled="f" stroked="f">
                <v:textbox>
                  <w:txbxContent>
                    <w:p w14:paraId="6C0F171E" w14:textId="2E215139" w:rsidR="00D15789" w:rsidRDefault="00D15789" w:rsidP="00FC2259">
                      <w:pPr>
                        <w:pStyle w:val="NormalWeb"/>
                        <w:spacing w:before="0" w:beforeAutospacing="0" w:after="0" w:afterAutospacing="0"/>
                        <w:rPr>
                          <w:rFonts w:asciiTheme="minorHAnsi" w:hAnsi="Calibri" w:cstheme="minorBidi"/>
                          <w:bCs/>
                          <w:color w:val="000000" w:themeColor="text1"/>
                          <w:kern w:val="24"/>
                          <w:sz w:val="20"/>
                        </w:rPr>
                      </w:pPr>
                      <w:proofErr w:type="gramStart"/>
                      <w:r>
                        <w:rPr>
                          <w:rFonts w:asciiTheme="minorHAnsi" w:hAnsi="Calibri" w:cstheme="minorBidi"/>
                          <w:bCs/>
                          <w:color w:val="000000" w:themeColor="text1"/>
                          <w:kern w:val="24"/>
                          <w:sz w:val="20"/>
                        </w:rPr>
                        <w:t>forward</w:t>
                      </w:r>
                      <w:proofErr w:type="gramEnd"/>
                      <w:r>
                        <w:rPr>
                          <w:rFonts w:asciiTheme="minorHAnsi" w:hAnsi="Calibri" w:cstheme="minorBidi"/>
                          <w:bCs/>
                          <w:color w:val="000000" w:themeColor="text1"/>
                          <w:kern w:val="24"/>
                          <w:sz w:val="20"/>
                        </w:rPr>
                        <w:t xml:space="preserve"> </w:t>
                      </w:r>
                      <w:r w:rsidR="00FC2259" w:rsidRPr="00745F01">
                        <w:rPr>
                          <w:rFonts w:asciiTheme="minorHAnsi" w:hAnsi="Calibri" w:cstheme="minorBidi"/>
                          <w:bCs/>
                          <w:color w:val="000000" w:themeColor="text1"/>
                          <w:kern w:val="24"/>
                          <w:sz w:val="20"/>
                        </w:rPr>
                        <w:t xml:space="preserve">demand for </w:t>
                      </w:r>
                      <w:r>
                        <w:rPr>
                          <w:rFonts w:asciiTheme="minorHAnsi" w:hAnsi="Calibri" w:cstheme="minorBidi"/>
                          <w:bCs/>
                          <w:color w:val="000000" w:themeColor="text1"/>
                          <w:kern w:val="24"/>
                          <w:sz w:val="20"/>
                        </w:rPr>
                        <w:t>fuels</w:t>
                      </w:r>
                      <w:r w:rsidR="00FC2259" w:rsidRPr="00745F01">
                        <w:rPr>
                          <w:rFonts w:asciiTheme="minorHAnsi" w:hAnsi="Calibri" w:cstheme="minorBidi"/>
                          <w:bCs/>
                          <w:color w:val="000000" w:themeColor="text1"/>
                          <w:kern w:val="24"/>
                          <w:sz w:val="20"/>
                        </w:rPr>
                        <w:t>,</w:t>
                      </w:r>
                    </w:p>
                    <w:p w14:paraId="08BA094E" w14:textId="2A00C6B6" w:rsidR="00FC2259" w:rsidRPr="000D28D3" w:rsidRDefault="00D15789" w:rsidP="00FC2259">
                      <w:pPr>
                        <w:pStyle w:val="NormalWeb"/>
                        <w:spacing w:before="0" w:beforeAutospacing="0" w:after="0" w:afterAutospacing="0"/>
                        <w:rPr>
                          <w:sz w:val="20"/>
                        </w:rPr>
                      </w:pPr>
                      <w:proofErr w:type="gramStart"/>
                      <w:r>
                        <w:rPr>
                          <w:rFonts w:asciiTheme="minorHAnsi" w:hAnsi="Calibri" w:cstheme="minorBidi"/>
                          <w:bCs/>
                          <w:color w:val="000000" w:themeColor="text1"/>
                          <w:kern w:val="24"/>
                          <w:sz w:val="20"/>
                        </w:rPr>
                        <w:t>forward</w:t>
                      </w:r>
                      <w:proofErr w:type="gramEnd"/>
                      <w:r>
                        <w:rPr>
                          <w:rFonts w:asciiTheme="minorHAnsi" w:hAnsi="Calibri" w:cstheme="minorBidi"/>
                          <w:bCs/>
                          <w:color w:val="000000" w:themeColor="text1"/>
                          <w:kern w:val="24"/>
                          <w:sz w:val="20"/>
                        </w:rPr>
                        <w:t xml:space="preserve"> </w:t>
                      </w:r>
                      <w:r w:rsidR="00FC2259" w:rsidRPr="00745F01">
                        <w:rPr>
                          <w:rFonts w:asciiTheme="minorHAnsi" w:hAnsi="Calibri" w:cstheme="minorBidi"/>
                          <w:bCs/>
                          <w:color w:val="000000" w:themeColor="text1"/>
                          <w:kern w:val="24"/>
                          <w:sz w:val="20"/>
                        </w:rPr>
                        <w:t>emissions</w:t>
                      </w:r>
                    </w:p>
                  </w:txbxContent>
                </v:textbox>
                <w10:wrap anchorx="margin"/>
              </v:shape>
            </w:pict>
          </mc:Fallback>
        </mc:AlternateContent>
      </w:r>
    </w:p>
    <w:p w14:paraId="32F365FF" w14:textId="4DB2F932" w:rsidR="00F27088" w:rsidRDefault="002C380F" w:rsidP="00AA7532">
      <w:r w:rsidRPr="00DD6AE1">
        <w:rPr>
          <w:noProof/>
          <w:lang w:eastAsia="en-GB"/>
        </w:rPr>
        <mc:AlternateContent>
          <mc:Choice Requires="wpg">
            <w:drawing>
              <wp:anchor distT="0" distB="0" distL="114300" distR="114300" simplePos="0" relativeHeight="251659264" behindDoc="0" locked="0" layoutInCell="1" allowOverlap="1" wp14:anchorId="5F8329CC" wp14:editId="09B61CAF">
                <wp:simplePos x="0" y="0"/>
                <wp:positionH relativeFrom="margin">
                  <wp:posOffset>106680</wp:posOffset>
                </wp:positionH>
                <wp:positionV relativeFrom="paragraph">
                  <wp:posOffset>328930</wp:posOffset>
                </wp:positionV>
                <wp:extent cx="5204460" cy="2628900"/>
                <wp:effectExtent l="0" t="0" r="15240" b="0"/>
                <wp:wrapTopAndBottom/>
                <wp:docPr id="18" name="Group 17"/>
                <wp:cNvGraphicFramePr/>
                <a:graphic xmlns:a="http://schemas.openxmlformats.org/drawingml/2006/main">
                  <a:graphicData uri="http://schemas.microsoft.com/office/word/2010/wordprocessingGroup">
                    <wpg:wgp>
                      <wpg:cNvGrpSpPr/>
                      <wpg:grpSpPr>
                        <a:xfrm>
                          <a:off x="0" y="0"/>
                          <a:ext cx="5204460" cy="2628900"/>
                          <a:chOff x="-36642" y="-98960"/>
                          <a:chExt cx="6742242" cy="3122206"/>
                        </a:xfrm>
                      </wpg:grpSpPr>
                      <wps:wsp>
                        <wps:cNvPr id="2" name="Rectangle 2"/>
                        <wps:cNvSpPr/>
                        <wps:spPr>
                          <a:xfrm>
                            <a:off x="3295650" y="6014"/>
                            <a:ext cx="1152525" cy="1009650"/>
                          </a:xfrm>
                          <a:prstGeom prst="rect">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157D1" w14:textId="148365BF" w:rsidR="00DD6AE1" w:rsidRPr="002C380F" w:rsidRDefault="000C7225" w:rsidP="00DD6AE1">
                              <w:pPr>
                                <w:pStyle w:val="NormalWeb"/>
                                <w:spacing w:before="0" w:beforeAutospacing="0" w:after="0" w:afterAutospacing="0"/>
                                <w:jc w:val="center"/>
                              </w:pPr>
                              <w:r>
                                <w:rPr>
                                  <w:color w:val="FFFFFF" w:themeColor="light1"/>
                                  <w:kern w:val="24"/>
                                  <w:sz w:val="36"/>
                                  <w:szCs w:val="36"/>
                                </w:rPr>
                                <w:t>I</w:t>
                              </w:r>
                              <w:r w:rsidR="00DD6AE1" w:rsidRPr="002C380F">
                                <w:rPr>
                                  <w:color w:val="FFFFFF" w:themeColor="light1"/>
                                  <w:kern w:val="24"/>
                                  <w:sz w:val="36"/>
                                  <w:szCs w:val="36"/>
                                </w:rPr>
                                <w:t>SM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5553075" y="6014"/>
                            <a:ext cx="1152525" cy="1009650"/>
                          </a:xfrm>
                          <a:prstGeom prst="rect">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2D440" w14:textId="77777777" w:rsidR="00DD6AE1" w:rsidRPr="002C380F" w:rsidRDefault="00DD6AE1" w:rsidP="00DD6AE1">
                              <w:pPr>
                                <w:pStyle w:val="NormalWeb"/>
                                <w:spacing w:before="0" w:beforeAutospacing="0" w:after="0" w:afterAutospacing="0"/>
                                <w:jc w:val="center"/>
                              </w:pPr>
                              <w:r w:rsidRPr="002C380F">
                                <w:rPr>
                                  <w:color w:val="FFFFFF" w:themeColor="light1"/>
                                  <w:kern w:val="24"/>
                                  <w:sz w:val="36"/>
                                  <w:szCs w:val="36"/>
                                </w:rPr>
                                <w:t>MCA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TextBox 5"/>
                        <wps:cNvSpPr txBox="1"/>
                        <wps:spPr>
                          <a:xfrm>
                            <a:off x="-36642" y="-98960"/>
                            <a:ext cx="2430626" cy="1918236"/>
                          </a:xfrm>
                          <a:prstGeom prst="rect">
                            <a:avLst/>
                          </a:prstGeom>
                          <a:noFill/>
                        </wps:spPr>
                        <wps:txbx>
                          <w:txbxContent>
                            <w:p w14:paraId="3CC58799" w14:textId="77777777" w:rsidR="00DD6AE1" w:rsidRPr="002C380F" w:rsidRDefault="00DD6AE1" w:rsidP="00DD6AE1">
                              <w:pPr>
                                <w:pStyle w:val="NormalWeb"/>
                                <w:spacing w:before="0" w:beforeAutospacing="0" w:after="0" w:afterAutospacing="0"/>
                              </w:pPr>
                              <w:r w:rsidRPr="002C380F">
                                <w:rPr>
                                  <w:b/>
                                  <w:bCs/>
                                  <w:color w:val="000000" w:themeColor="text1"/>
                                  <w:kern w:val="24"/>
                                </w:rPr>
                                <w:t>Exogenous Inputs:</w:t>
                              </w:r>
                            </w:p>
                            <w:p w14:paraId="109A19EA" w14:textId="567C999F" w:rsidR="00E8067D" w:rsidRDefault="00405DBD" w:rsidP="00DD6AE1">
                              <w:pPr>
                                <w:pStyle w:val="NormalWeb"/>
                                <w:spacing w:before="0" w:beforeAutospacing="0" w:after="0" w:afterAutospacing="0"/>
                                <w:rPr>
                                  <w:color w:val="000000" w:themeColor="text1"/>
                                  <w:kern w:val="24"/>
                                  <w:sz w:val="20"/>
                                </w:rPr>
                              </w:pPr>
                              <w:proofErr w:type="gramStart"/>
                              <w:r>
                                <w:rPr>
                                  <w:color w:val="000000" w:themeColor="text1"/>
                                  <w:kern w:val="24"/>
                                  <w:sz w:val="20"/>
                                </w:rPr>
                                <w:t>m</w:t>
                              </w:r>
                              <w:r w:rsidR="00E8067D">
                                <w:rPr>
                                  <w:color w:val="000000" w:themeColor="text1"/>
                                  <w:kern w:val="24"/>
                                  <w:sz w:val="20"/>
                                </w:rPr>
                                <w:t>acroeconomic</w:t>
                              </w:r>
                              <w:proofErr w:type="gramEnd"/>
                              <w:r w:rsidR="00E8067D">
                                <w:rPr>
                                  <w:color w:val="000000" w:themeColor="text1"/>
                                  <w:kern w:val="24"/>
                                  <w:sz w:val="20"/>
                                </w:rPr>
                                <w:t xml:space="preserve"> drivers,</w:t>
                              </w:r>
                            </w:p>
                            <w:p w14:paraId="73C66B48" w14:textId="6DA58E69" w:rsidR="000D28D3" w:rsidRPr="002C380F" w:rsidRDefault="004F043C" w:rsidP="00DD6AE1">
                              <w:pPr>
                                <w:pStyle w:val="NormalWeb"/>
                                <w:spacing w:before="0" w:beforeAutospacing="0" w:after="0" w:afterAutospacing="0"/>
                                <w:rPr>
                                  <w:color w:val="000000" w:themeColor="text1"/>
                                  <w:kern w:val="24"/>
                                  <w:sz w:val="20"/>
                                </w:rPr>
                              </w:pPr>
                              <w:proofErr w:type="gramStart"/>
                              <w:r w:rsidRPr="002C380F">
                                <w:rPr>
                                  <w:color w:val="000000" w:themeColor="text1"/>
                                  <w:kern w:val="24"/>
                                  <w:sz w:val="20"/>
                                </w:rPr>
                                <w:t>assumptions</w:t>
                              </w:r>
                              <w:proofErr w:type="gramEnd"/>
                              <w:r w:rsidRPr="002C380F">
                                <w:rPr>
                                  <w:color w:val="000000" w:themeColor="text1"/>
                                  <w:kern w:val="24"/>
                                  <w:sz w:val="20"/>
                                </w:rPr>
                                <w:t xml:space="preserve"> on </w:t>
                              </w:r>
                              <w:r w:rsidR="00DD6AE1" w:rsidRPr="002C380F">
                                <w:rPr>
                                  <w:color w:val="000000" w:themeColor="text1"/>
                                  <w:kern w:val="24"/>
                                  <w:sz w:val="20"/>
                                </w:rPr>
                                <w:t>polic</w:t>
                              </w:r>
                              <w:r w:rsidRPr="002C380F">
                                <w:rPr>
                                  <w:color w:val="000000" w:themeColor="text1"/>
                                  <w:kern w:val="24"/>
                                  <w:sz w:val="20"/>
                                </w:rPr>
                                <w:t>ies</w:t>
                              </w:r>
                              <w:r w:rsidR="00DD6AE1" w:rsidRPr="002C380F">
                                <w:rPr>
                                  <w:color w:val="000000" w:themeColor="text1"/>
                                  <w:kern w:val="24"/>
                                  <w:sz w:val="20"/>
                                </w:rPr>
                                <w:t xml:space="preserve">, </w:t>
                              </w:r>
                            </w:p>
                            <w:p w14:paraId="75CAF910" w14:textId="366999C7" w:rsidR="002B31FA" w:rsidRPr="002C380F" w:rsidRDefault="00DD6AE1" w:rsidP="00DD6AE1">
                              <w:pPr>
                                <w:pStyle w:val="NormalWeb"/>
                                <w:spacing w:before="0" w:beforeAutospacing="0" w:after="0" w:afterAutospacing="0"/>
                                <w:rPr>
                                  <w:color w:val="000000" w:themeColor="text1"/>
                                  <w:kern w:val="24"/>
                                  <w:sz w:val="20"/>
                                </w:rPr>
                              </w:pPr>
                              <w:proofErr w:type="gramStart"/>
                              <w:r w:rsidRPr="002C380F">
                                <w:rPr>
                                  <w:color w:val="000000" w:themeColor="text1"/>
                                  <w:kern w:val="24"/>
                                  <w:sz w:val="20"/>
                                </w:rPr>
                                <w:t>cost</w:t>
                              </w:r>
                              <w:proofErr w:type="gramEnd"/>
                              <w:r w:rsidRPr="002C380F">
                                <w:rPr>
                                  <w:color w:val="000000" w:themeColor="text1"/>
                                  <w:kern w:val="24"/>
                                  <w:sz w:val="20"/>
                                </w:rPr>
                                <w:t xml:space="preserve"> </w:t>
                              </w:r>
                              <w:r w:rsidR="002B31FA" w:rsidRPr="002C380F">
                                <w:rPr>
                                  <w:color w:val="000000" w:themeColor="text1"/>
                                  <w:kern w:val="24"/>
                                  <w:sz w:val="20"/>
                                </w:rPr>
                                <w:t xml:space="preserve">by </w:t>
                              </w:r>
                              <w:r w:rsidR="00405DBD">
                                <w:rPr>
                                  <w:color w:val="000000" w:themeColor="text1"/>
                                  <w:kern w:val="24"/>
                                  <w:sz w:val="20"/>
                                </w:rPr>
                                <w:t>asset type</w:t>
                              </w:r>
                              <w:r w:rsidRPr="002C380F">
                                <w:rPr>
                                  <w:color w:val="000000" w:themeColor="text1"/>
                                  <w:kern w:val="24"/>
                                  <w:sz w:val="20"/>
                                </w:rPr>
                                <w:t>,</w:t>
                              </w:r>
                            </w:p>
                            <w:p w14:paraId="08CDD63B" w14:textId="0C3D4495" w:rsidR="002B31FA" w:rsidRPr="002C380F" w:rsidRDefault="00DD6AE1" w:rsidP="002B31FA">
                              <w:pPr>
                                <w:pStyle w:val="NormalWeb"/>
                                <w:spacing w:before="0" w:beforeAutospacing="0" w:after="0" w:afterAutospacing="0"/>
                                <w:rPr>
                                  <w:color w:val="000000" w:themeColor="text1"/>
                                  <w:kern w:val="24"/>
                                  <w:sz w:val="20"/>
                                </w:rPr>
                              </w:pPr>
                              <w:proofErr w:type="gramStart"/>
                              <w:r w:rsidRPr="002C380F">
                                <w:rPr>
                                  <w:color w:val="000000" w:themeColor="text1"/>
                                  <w:kern w:val="24"/>
                                  <w:sz w:val="20"/>
                                </w:rPr>
                                <w:t>efficiencies</w:t>
                              </w:r>
                              <w:proofErr w:type="gramEnd"/>
                              <w:r w:rsidR="002B31FA" w:rsidRPr="002C380F">
                                <w:rPr>
                                  <w:color w:val="000000" w:themeColor="text1"/>
                                  <w:kern w:val="24"/>
                                  <w:sz w:val="20"/>
                                </w:rPr>
                                <w:t xml:space="preserve"> by </w:t>
                              </w:r>
                              <w:r w:rsidR="00E8067D">
                                <w:rPr>
                                  <w:color w:val="000000" w:themeColor="text1"/>
                                  <w:kern w:val="24"/>
                                  <w:sz w:val="20"/>
                                </w:rPr>
                                <w:t>asset</w:t>
                              </w:r>
                              <w:r w:rsidR="00405DBD">
                                <w:rPr>
                                  <w:color w:val="000000" w:themeColor="text1"/>
                                  <w:kern w:val="24"/>
                                  <w:sz w:val="20"/>
                                </w:rPr>
                                <w:t xml:space="preserve"> type</w:t>
                              </w:r>
                              <w:r w:rsidR="002B31FA" w:rsidRPr="002C380F">
                                <w:rPr>
                                  <w:color w:val="000000" w:themeColor="text1"/>
                                  <w:kern w:val="24"/>
                                  <w:sz w:val="20"/>
                                </w:rPr>
                                <w:t>,</w:t>
                              </w:r>
                            </w:p>
                            <w:p w14:paraId="10B73E07" w14:textId="0C004611" w:rsidR="002B31FA" w:rsidRPr="002C380F" w:rsidRDefault="00DD6AE1" w:rsidP="00DD6AE1">
                              <w:pPr>
                                <w:pStyle w:val="NormalWeb"/>
                                <w:spacing w:before="0" w:beforeAutospacing="0" w:after="0" w:afterAutospacing="0"/>
                                <w:rPr>
                                  <w:color w:val="000000" w:themeColor="text1"/>
                                  <w:kern w:val="24"/>
                                  <w:sz w:val="20"/>
                                </w:rPr>
                              </w:pPr>
                              <w:proofErr w:type="gramStart"/>
                              <w:r w:rsidRPr="002C380F">
                                <w:rPr>
                                  <w:color w:val="000000" w:themeColor="text1"/>
                                  <w:kern w:val="24"/>
                                  <w:sz w:val="20"/>
                                </w:rPr>
                                <w:t>emissions</w:t>
                              </w:r>
                              <w:proofErr w:type="gramEnd"/>
                              <w:r w:rsidR="002C380F">
                                <w:rPr>
                                  <w:color w:val="000000" w:themeColor="text1"/>
                                  <w:kern w:val="24"/>
                                  <w:sz w:val="20"/>
                                </w:rPr>
                                <w:t xml:space="preserve"> by </w:t>
                              </w:r>
                              <w:r w:rsidR="00E8067D">
                                <w:rPr>
                                  <w:color w:val="000000" w:themeColor="text1"/>
                                  <w:kern w:val="24"/>
                                  <w:sz w:val="20"/>
                                </w:rPr>
                                <w:t>asset</w:t>
                              </w:r>
                              <w:r w:rsidR="00405DBD">
                                <w:rPr>
                                  <w:color w:val="000000" w:themeColor="text1"/>
                                  <w:kern w:val="24"/>
                                  <w:sz w:val="20"/>
                                </w:rPr>
                                <w:t xml:space="preserve"> type</w:t>
                              </w:r>
                              <w:r w:rsidR="00E8067D">
                                <w:rPr>
                                  <w:color w:val="000000" w:themeColor="text1"/>
                                  <w:kern w:val="24"/>
                                  <w:sz w:val="20"/>
                                </w:rPr>
                                <w:t>,</w:t>
                              </w:r>
                            </w:p>
                            <w:p w14:paraId="28D14E83" w14:textId="576B082F" w:rsidR="000D28D3" w:rsidRPr="002C380F" w:rsidRDefault="002B31FA" w:rsidP="00DD6AE1">
                              <w:pPr>
                                <w:pStyle w:val="NormalWeb"/>
                                <w:spacing w:before="0" w:beforeAutospacing="0" w:after="0" w:afterAutospacing="0"/>
                                <w:rPr>
                                  <w:color w:val="000000" w:themeColor="text1"/>
                                  <w:kern w:val="24"/>
                                  <w:sz w:val="20"/>
                                </w:rPr>
                              </w:pPr>
                              <w:proofErr w:type="gramStart"/>
                              <w:r w:rsidRPr="002C380F">
                                <w:rPr>
                                  <w:color w:val="000000" w:themeColor="text1"/>
                                  <w:kern w:val="24"/>
                                  <w:sz w:val="20"/>
                                </w:rPr>
                                <w:t>operational</w:t>
                              </w:r>
                              <w:proofErr w:type="gramEnd"/>
                              <w:r w:rsidRPr="002C380F">
                                <w:rPr>
                                  <w:color w:val="000000" w:themeColor="text1"/>
                                  <w:kern w:val="24"/>
                                  <w:sz w:val="20"/>
                                </w:rPr>
                                <w:t xml:space="preserve"> constraints </w:t>
                              </w:r>
                              <w:r w:rsidR="000D28D3" w:rsidRPr="002C380F">
                                <w:rPr>
                                  <w:color w:val="000000" w:themeColor="text1"/>
                                  <w:kern w:val="24"/>
                                  <w:sz w:val="20"/>
                                </w:rPr>
                                <w:t xml:space="preserve">by </w:t>
                              </w:r>
                              <w:r w:rsidR="00E8067D">
                                <w:rPr>
                                  <w:color w:val="000000" w:themeColor="text1"/>
                                  <w:kern w:val="24"/>
                                  <w:sz w:val="20"/>
                                </w:rPr>
                                <w:t>asset</w:t>
                              </w:r>
                              <w:r w:rsidR="00405DBD">
                                <w:rPr>
                                  <w:color w:val="000000" w:themeColor="text1"/>
                                  <w:kern w:val="24"/>
                                  <w:sz w:val="20"/>
                                </w:rPr>
                                <w:t xml:space="preserve"> type</w:t>
                              </w:r>
                              <w:r w:rsidR="000D28D3" w:rsidRPr="002C380F">
                                <w:rPr>
                                  <w:color w:val="000000" w:themeColor="text1"/>
                                  <w:kern w:val="24"/>
                                  <w:sz w:val="20"/>
                                </w:rPr>
                                <w:t>,</w:t>
                              </w:r>
                            </w:p>
                            <w:p w14:paraId="00EFC517" w14:textId="05301ED0" w:rsidR="00DD6AE1" w:rsidRPr="002C380F" w:rsidRDefault="00DD6AE1" w:rsidP="00DD6AE1">
                              <w:pPr>
                                <w:pStyle w:val="NormalWeb"/>
                                <w:spacing w:before="0" w:beforeAutospacing="0" w:after="0" w:afterAutospacing="0"/>
                                <w:rPr>
                                  <w:sz w:val="20"/>
                                </w:rPr>
                              </w:pPr>
                              <w:proofErr w:type="gramStart"/>
                              <w:r w:rsidRPr="002C380F">
                                <w:rPr>
                                  <w:color w:val="000000" w:themeColor="text1"/>
                                  <w:kern w:val="24"/>
                                  <w:sz w:val="20"/>
                                </w:rPr>
                                <w:t>existing</w:t>
                              </w:r>
                              <w:proofErr w:type="gramEnd"/>
                              <w:r w:rsidRPr="002C380F">
                                <w:rPr>
                                  <w:color w:val="000000" w:themeColor="text1"/>
                                  <w:kern w:val="24"/>
                                  <w:sz w:val="20"/>
                                </w:rPr>
                                <w:t xml:space="preserve"> </w:t>
                              </w:r>
                              <w:r w:rsidR="004F043C" w:rsidRPr="002C380F">
                                <w:rPr>
                                  <w:color w:val="000000" w:themeColor="text1"/>
                                  <w:kern w:val="24"/>
                                  <w:sz w:val="20"/>
                                </w:rPr>
                                <w:t xml:space="preserve">stock </w:t>
                              </w:r>
                              <w:r w:rsidRPr="002C380F">
                                <w:rPr>
                                  <w:color w:val="000000" w:themeColor="text1"/>
                                  <w:kern w:val="24"/>
                                  <w:sz w:val="20"/>
                                </w:rPr>
                                <w:t xml:space="preserve">by </w:t>
                              </w:r>
                              <w:r w:rsidR="00E8067D">
                                <w:rPr>
                                  <w:color w:val="000000" w:themeColor="text1"/>
                                  <w:kern w:val="24"/>
                                  <w:sz w:val="20"/>
                                </w:rPr>
                                <w:t>asset</w:t>
                              </w:r>
                              <w:r w:rsidR="004F043C" w:rsidRPr="002C380F">
                                <w:rPr>
                                  <w:color w:val="000000" w:themeColor="text1"/>
                                  <w:kern w:val="24"/>
                                  <w:sz w:val="20"/>
                                </w:rPr>
                                <w:t xml:space="preserve"> </w:t>
                              </w:r>
                              <w:r w:rsidR="00405DBD">
                                <w:rPr>
                                  <w:color w:val="000000" w:themeColor="text1"/>
                                  <w:kern w:val="24"/>
                                  <w:sz w:val="20"/>
                                </w:rPr>
                                <w:t xml:space="preserve">type </w:t>
                              </w:r>
                              <w:r w:rsidR="004F043C" w:rsidRPr="002C380F">
                                <w:rPr>
                                  <w:color w:val="000000" w:themeColor="text1"/>
                                  <w:kern w:val="24"/>
                                  <w:sz w:val="20"/>
                                </w:rPr>
                                <w:t>and retirement profile</w:t>
                              </w:r>
                            </w:p>
                          </w:txbxContent>
                        </wps:txbx>
                        <wps:bodyPr wrap="square" rtlCol="0">
                          <a:noAutofit/>
                        </wps:bodyPr>
                      </wps:wsp>
                      <wps:wsp>
                        <wps:cNvPr id="5" name="TextBox 6"/>
                        <wps:cNvSpPr txBox="1"/>
                        <wps:spPr>
                          <a:xfrm>
                            <a:off x="2676525" y="1815476"/>
                            <a:ext cx="2324100" cy="1207770"/>
                          </a:xfrm>
                          <a:prstGeom prst="rect">
                            <a:avLst/>
                          </a:prstGeom>
                          <a:noFill/>
                        </wps:spPr>
                        <wps:txbx>
                          <w:txbxContent>
                            <w:p w14:paraId="0968A1EE" w14:textId="77777777" w:rsidR="00DD6AE1" w:rsidRPr="002C380F" w:rsidRDefault="00DD6AE1" w:rsidP="00DD6AE1">
                              <w:pPr>
                                <w:pStyle w:val="NormalWeb"/>
                                <w:spacing w:before="0" w:beforeAutospacing="0" w:after="0" w:afterAutospacing="0"/>
                                <w:jc w:val="center"/>
                              </w:pPr>
                              <w:r w:rsidRPr="002C380F">
                                <w:rPr>
                                  <w:b/>
                                  <w:bCs/>
                                  <w:color w:val="000000" w:themeColor="text1"/>
                                  <w:kern w:val="24"/>
                                </w:rPr>
                                <w:t>Specific Outputs:</w:t>
                              </w:r>
                            </w:p>
                            <w:p w14:paraId="0E18DF23" w14:textId="77777777" w:rsidR="00DD6AE1" w:rsidRPr="002C380F" w:rsidRDefault="00DD6AE1" w:rsidP="00DD6AE1">
                              <w:pPr>
                                <w:pStyle w:val="NormalWeb"/>
                                <w:spacing w:before="0" w:beforeAutospacing="0" w:after="0" w:afterAutospacing="0"/>
                                <w:jc w:val="center"/>
                                <w:rPr>
                                  <w:sz w:val="20"/>
                                </w:rPr>
                              </w:pPr>
                              <w:proofErr w:type="gramStart"/>
                              <w:r w:rsidRPr="002C380F">
                                <w:rPr>
                                  <w:color w:val="000000" w:themeColor="text1"/>
                                  <w:kern w:val="24"/>
                                  <w:sz w:val="20"/>
                                </w:rPr>
                                <w:t>aggregate</w:t>
                              </w:r>
                              <w:proofErr w:type="gramEnd"/>
                              <w:r w:rsidRPr="002C380F">
                                <w:rPr>
                                  <w:color w:val="000000" w:themeColor="text1"/>
                                  <w:kern w:val="24"/>
                                  <w:sz w:val="20"/>
                                </w:rPr>
                                <w:t xml:space="preserve"> CAPEX,</w:t>
                              </w:r>
                            </w:p>
                            <w:p w14:paraId="6B34FF1E" w14:textId="2DC534B8" w:rsidR="00DD6AE1" w:rsidRPr="002C380F" w:rsidRDefault="00DD6AE1" w:rsidP="00DD6AE1">
                              <w:pPr>
                                <w:pStyle w:val="NormalWeb"/>
                                <w:spacing w:before="0" w:beforeAutospacing="0" w:after="0" w:afterAutospacing="0"/>
                                <w:jc w:val="center"/>
                                <w:rPr>
                                  <w:sz w:val="20"/>
                                </w:rPr>
                              </w:pPr>
                              <w:proofErr w:type="gramStart"/>
                              <w:r w:rsidRPr="002C380F">
                                <w:rPr>
                                  <w:color w:val="000000" w:themeColor="text1"/>
                                  <w:kern w:val="24"/>
                                  <w:sz w:val="20"/>
                                </w:rPr>
                                <w:t>aggregate</w:t>
                              </w:r>
                              <w:proofErr w:type="gramEnd"/>
                              <w:r w:rsidRPr="002C380F">
                                <w:rPr>
                                  <w:color w:val="000000" w:themeColor="text1"/>
                                  <w:kern w:val="24"/>
                                  <w:sz w:val="20"/>
                                </w:rPr>
                                <w:t xml:space="preserve"> OPEX,</w:t>
                              </w:r>
                            </w:p>
                            <w:p w14:paraId="6B2C0956" w14:textId="42B888B9" w:rsidR="00DD6AE1" w:rsidRPr="002C380F" w:rsidRDefault="00DD6AE1" w:rsidP="00DD6AE1">
                              <w:pPr>
                                <w:pStyle w:val="NormalWeb"/>
                                <w:spacing w:before="0" w:beforeAutospacing="0" w:after="0" w:afterAutospacing="0"/>
                                <w:jc w:val="center"/>
                                <w:rPr>
                                  <w:sz w:val="20"/>
                                </w:rPr>
                              </w:pPr>
                              <w:proofErr w:type="gramStart"/>
                              <w:r w:rsidRPr="002C380F">
                                <w:rPr>
                                  <w:color w:val="000000" w:themeColor="text1"/>
                                  <w:kern w:val="24"/>
                                  <w:sz w:val="20"/>
                                </w:rPr>
                                <w:t>production</w:t>
                              </w:r>
                              <w:proofErr w:type="gramEnd"/>
                              <w:r w:rsidRPr="002C380F">
                                <w:rPr>
                                  <w:color w:val="000000" w:themeColor="text1"/>
                                  <w:kern w:val="24"/>
                                  <w:sz w:val="20"/>
                                </w:rPr>
                                <w:t xml:space="preserve"> by </w:t>
                              </w:r>
                              <w:r w:rsidR="00130A57">
                                <w:rPr>
                                  <w:color w:val="000000" w:themeColor="text1"/>
                                  <w:kern w:val="24"/>
                                  <w:sz w:val="20"/>
                                </w:rPr>
                                <w:t>technology</w:t>
                              </w:r>
                              <w:r w:rsidRPr="002C380F">
                                <w:rPr>
                                  <w:color w:val="000000" w:themeColor="text1"/>
                                  <w:kern w:val="24"/>
                                  <w:sz w:val="20"/>
                                </w:rPr>
                                <w:t xml:space="preserve">, emissions by </w:t>
                              </w:r>
                              <w:r w:rsidR="00130A57">
                                <w:rPr>
                                  <w:color w:val="000000" w:themeColor="text1"/>
                                  <w:kern w:val="24"/>
                                  <w:sz w:val="20"/>
                                </w:rPr>
                                <w:t>technology</w:t>
                              </w:r>
                              <w:r w:rsidRPr="002C380F">
                                <w:rPr>
                                  <w:color w:val="000000" w:themeColor="text1"/>
                                  <w:kern w:val="24"/>
                                  <w:sz w:val="20"/>
                                </w:rPr>
                                <w:t>,</w:t>
                              </w:r>
                            </w:p>
                            <w:p w14:paraId="136F0BFA" w14:textId="174A5D20" w:rsidR="00DD6AE1" w:rsidRPr="002C380F" w:rsidRDefault="00DD6AE1" w:rsidP="00DD6AE1">
                              <w:pPr>
                                <w:pStyle w:val="NormalWeb"/>
                                <w:spacing w:before="0" w:beforeAutospacing="0" w:after="0" w:afterAutospacing="0"/>
                                <w:jc w:val="center"/>
                                <w:rPr>
                                  <w:sz w:val="20"/>
                                </w:rPr>
                              </w:pPr>
                              <w:proofErr w:type="gramStart"/>
                              <w:r w:rsidRPr="002C380F">
                                <w:rPr>
                                  <w:color w:val="000000" w:themeColor="text1"/>
                                  <w:kern w:val="24"/>
                                  <w:sz w:val="20"/>
                                </w:rPr>
                                <w:t>capacity</w:t>
                              </w:r>
                              <w:proofErr w:type="gramEnd"/>
                              <w:r w:rsidRPr="002C380F">
                                <w:rPr>
                                  <w:color w:val="000000" w:themeColor="text1"/>
                                  <w:kern w:val="24"/>
                                  <w:sz w:val="20"/>
                                </w:rPr>
                                <w:t xml:space="preserve"> by </w:t>
                              </w:r>
                              <w:r w:rsidR="00130A57">
                                <w:rPr>
                                  <w:color w:val="000000" w:themeColor="text1"/>
                                  <w:kern w:val="24"/>
                                  <w:sz w:val="20"/>
                                </w:rPr>
                                <w:t>technology</w:t>
                              </w:r>
                            </w:p>
                          </w:txbxContent>
                        </wps:txbx>
                        <wps:bodyPr wrap="square" rtlCol="0">
                          <a:noAutofit/>
                        </wps:bodyPr>
                      </wps:wsp>
                      <wps:wsp>
                        <wps:cNvPr id="6" name="Straight Arrow Connector 6"/>
                        <wps:cNvCnPr/>
                        <wps:spPr>
                          <a:xfrm flipV="1">
                            <a:off x="2149965" y="507832"/>
                            <a:ext cx="1145685" cy="211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4448175" y="183982"/>
                            <a:ext cx="11049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H="1">
                            <a:off x="4448175" y="822157"/>
                            <a:ext cx="1104900" cy="300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a:stCxn id="2" idx="2"/>
                        </wps:cNvCnPr>
                        <wps:spPr>
                          <a:xfrm flipH="1">
                            <a:off x="3871912" y="1015664"/>
                            <a:ext cx="1" cy="80361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8329CC" id="Group 17" o:spid="_x0000_s1027" style="position:absolute;left:0;text-align:left;margin-left:8.4pt;margin-top:25.9pt;width:409.8pt;height:207pt;z-index:251659264;mso-position-horizontal-relative:margin;mso-width-relative:margin;mso-height-relative:margin" coordorigin="-366,-989" coordsize="67422,3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">
                <v:rect id="Rectangle 2" o:spid="_x0000_s1028" style="position:absolute;left:32956;top:60;width:11525;height:10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C5bcEA&#10;AADaAAAADwAAAGRycy9kb3ducmV2LnhtbESPzWrDMBCE74W+g9hCb826OZTEjRKM20KoT/mh58Xa&#10;2CbWykiq4759FQjkOMzMN8xqM9lejexD50TD6ywDxVI700mj4Xj4elmACpHEUO+ENfxxgM368WFF&#10;uXEX2fG4j41KEAk5aWhjHHLEULdsKczcwJK8k/OWYpK+QePpkuC2x3mWvaGlTtJCSwOXLdfn/a/V&#10;4Mfyp8Ky+saPul9WWGyLz+i0fn6aindQkad4D9/aW6NhDtcr6Qbg+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AuW3BAAAA2gAAAA8AAAAAAAAAAAAAAAAAmAIAAGRycy9kb3du&#10;cmV2LnhtbFBLBQYAAAAABAAEAPUAAACGAwAAAAA=&#10;" fillcolor="#ed7d31 [3205]" strokecolor="black [3213]" strokeweight="1pt">
                  <v:textbox>
                    <w:txbxContent>
                      <w:p w14:paraId="63E157D1" w14:textId="148365BF" w:rsidR="00DD6AE1" w:rsidRPr="002C380F" w:rsidRDefault="000C7225" w:rsidP="00DD6AE1">
                        <w:pPr>
                          <w:pStyle w:val="NormalWeb"/>
                          <w:spacing w:before="0" w:beforeAutospacing="0" w:after="0" w:afterAutospacing="0"/>
                          <w:jc w:val="center"/>
                        </w:pPr>
                        <w:r>
                          <w:rPr>
                            <w:color w:val="FFFFFF" w:themeColor="light1"/>
                            <w:kern w:val="24"/>
                            <w:sz w:val="36"/>
                            <w:szCs w:val="36"/>
                          </w:rPr>
                          <w:t>I</w:t>
                        </w:r>
                        <w:r w:rsidR="00DD6AE1" w:rsidRPr="002C380F">
                          <w:rPr>
                            <w:color w:val="FFFFFF" w:themeColor="light1"/>
                            <w:kern w:val="24"/>
                            <w:sz w:val="36"/>
                            <w:szCs w:val="36"/>
                          </w:rPr>
                          <w:t>SM</w:t>
                        </w:r>
                      </w:p>
                    </w:txbxContent>
                  </v:textbox>
                </v:rect>
                <v:rect id="Rectangle 3" o:spid="_x0000_s1029" style="position:absolute;left:55530;top:60;width:11526;height:10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wc9sIA&#10;AADaAAAADwAAAGRycy9kb3ducmV2LnhtbESPQUvDQBSE74L/YXlCb/ZFC6JptyXEFkpzsornR/Y1&#10;CWbfht1tmv77riB4HGbmG2a1mWyvRvahc6LhaZ6BYqmd6aTR8PW5e3wFFSKJod4Ja7hygM36/m5F&#10;uXEX+eDxGBuVIBJy0tDGOOSIoW7ZUpi7gSV5J+ctxSR9g8bTJcFtj89Z9oKWOkkLLQ1ctlz/HM9W&#10;gx/L7wrL6oDvdf9WYbEvttFpPXuYiiWoyFP8D/+190bDAn6vpBuA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Bz2wgAAANoAAAAPAAAAAAAAAAAAAAAAAJgCAABkcnMvZG93&#10;bnJldi54bWxQSwUGAAAAAAQABAD1AAAAhwMAAAAA&#10;" fillcolor="#ed7d31 [3205]" strokecolor="black [3213]" strokeweight="1pt">
                  <v:textbox>
                    <w:txbxContent>
                      <w:p w14:paraId="56F2D440" w14:textId="77777777" w:rsidR="00DD6AE1" w:rsidRPr="002C380F" w:rsidRDefault="00DD6AE1" w:rsidP="00DD6AE1">
                        <w:pPr>
                          <w:pStyle w:val="NormalWeb"/>
                          <w:spacing w:before="0" w:beforeAutospacing="0" w:after="0" w:afterAutospacing="0"/>
                          <w:jc w:val="center"/>
                        </w:pPr>
                        <w:r w:rsidRPr="002C380F">
                          <w:rPr>
                            <w:color w:val="FFFFFF" w:themeColor="light1"/>
                            <w:kern w:val="24"/>
                            <w:sz w:val="36"/>
                            <w:szCs w:val="36"/>
                          </w:rPr>
                          <w:t>MCA</w:t>
                        </w:r>
                      </w:p>
                    </w:txbxContent>
                  </v:textbox>
                </v:rect>
                <v:shape id="_x0000_s1030" type="#_x0000_t202" style="position:absolute;left:-366;top:-989;width:24305;height:19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3CC58799" w14:textId="77777777" w:rsidR="00DD6AE1" w:rsidRPr="002C380F" w:rsidRDefault="00DD6AE1" w:rsidP="00DD6AE1">
                        <w:pPr>
                          <w:pStyle w:val="NormalWeb"/>
                          <w:spacing w:before="0" w:beforeAutospacing="0" w:after="0" w:afterAutospacing="0"/>
                        </w:pPr>
                        <w:r w:rsidRPr="002C380F">
                          <w:rPr>
                            <w:b/>
                            <w:bCs/>
                            <w:color w:val="000000" w:themeColor="text1"/>
                            <w:kern w:val="24"/>
                          </w:rPr>
                          <w:t>Exogenous Inputs:</w:t>
                        </w:r>
                      </w:p>
                      <w:p w14:paraId="109A19EA" w14:textId="567C999F" w:rsidR="00E8067D" w:rsidRDefault="00405DBD" w:rsidP="00DD6AE1">
                        <w:pPr>
                          <w:pStyle w:val="NormalWeb"/>
                          <w:spacing w:before="0" w:beforeAutospacing="0" w:after="0" w:afterAutospacing="0"/>
                          <w:rPr>
                            <w:color w:val="000000" w:themeColor="text1"/>
                            <w:kern w:val="24"/>
                            <w:sz w:val="20"/>
                          </w:rPr>
                        </w:pPr>
                        <w:proofErr w:type="gramStart"/>
                        <w:r>
                          <w:rPr>
                            <w:color w:val="000000" w:themeColor="text1"/>
                            <w:kern w:val="24"/>
                            <w:sz w:val="20"/>
                          </w:rPr>
                          <w:t>m</w:t>
                        </w:r>
                        <w:r w:rsidR="00E8067D">
                          <w:rPr>
                            <w:color w:val="000000" w:themeColor="text1"/>
                            <w:kern w:val="24"/>
                            <w:sz w:val="20"/>
                          </w:rPr>
                          <w:t>acroeconomic</w:t>
                        </w:r>
                        <w:proofErr w:type="gramEnd"/>
                        <w:r w:rsidR="00E8067D">
                          <w:rPr>
                            <w:color w:val="000000" w:themeColor="text1"/>
                            <w:kern w:val="24"/>
                            <w:sz w:val="20"/>
                          </w:rPr>
                          <w:t xml:space="preserve"> drivers,</w:t>
                        </w:r>
                      </w:p>
                      <w:p w14:paraId="73C66B48" w14:textId="6DA58E69" w:rsidR="000D28D3" w:rsidRPr="002C380F" w:rsidRDefault="004F043C" w:rsidP="00DD6AE1">
                        <w:pPr>
                          <w:pStyle w:val="NormalWeb"/>
                          <w:spacing w:before="0" w:beforeAutospacing="0" w:after="0" w:afterAutospacing="0"/>
                          <w:rPr>
                            <w:color w:val="000000" w:themeColor="text1"/>
                            <w:kern w:val="24"/>
                            <w:sz w:val="20"/>
                          </w:rPr>
                        </w:pPr>
                        <w:proofErr w:type="gramStart"/>
                        <w:r w:rsidRPr="002C380F">
                          <w:rPr>
                            <w:color w:val="000000" w:themeColor="text1"/>
                            <w:kern w:val="24"/>
                            <w:sz w:val="20"/>
                          </w:rPr>
                          <w:t>assumptions</w:t>
                        </w:r>
                        <w:proofErr w:type="gramEnd"/>
                        <w:r w:rsidRPr="002C380F">
                          <w:rPr>
                            <w:color w:val="000000" w:themeColor="text1"/>
                            <w:kern w:val="24"/>
                            <w:sz w:val="20"/>
                          </w:rPr>
                          <w:t xml:space="preserve"> on </w:t>
                        </w:r>
                        <w:r w:rsidR="00DD6AE1" w:rsidRPr="002C380F">
                          <w:rPr>
                            <w:color w:val="000000" w:themeColor="text1"/>
                            <w:kern w:val="24"/>
                            <w:sz w:val="20"/>
                          </w:rPr>
                          <w:t>polic</w:t>
                        </w:r>
                        <w:r w:rsidRPr="002C380F">
                          <w:rPr>
                            <w:color w:val="000000" w:themeColor="text1"/>
                            <w:kern w:val="24"/>
                            <w:sz w:val="20"/>
                          </w:rPr>
                          <w:t>ies</w:t>
                        </w:r>
                        <w:r w:rsidR="00DD6AE1" w:rsidRPr="002C380F">
                          <w:rPr>
                            <w:color w:val="000000" w:themeColor="text1"/>
                            <w:kern w:val="24"/>
                            <w:sz w:val="20"/>
                          </w:rPr>
                          <w:t xml:space="preserve">, </w:t>
                        </w:r>
                      </w:p>
                      <w:p w14:paraId="75CAF910" w14:textId="366999C7" w:rsidR="002B31FA" w:rsidRPr="002C380F" w:rsidRDefault="00DD6AE1" w:rsidP="00DD6AE1">
                        <w:pPr>
                          <w:pStyle w:val="NormalWeb"/>
                          <w:spacing w:before="0" w:beforeAutospacing="0" w:after="0" w:afterAutospacing="0"/>
                          <w:rPr>
                            <w:color w:val="000000" w:themeColor="text1"/>
                            <w:kern w:val="24"/>
                            <w:sz w:val="20"/>
                          </w:rPr>
                        </w:pPr>
                        <w:proofErr w:type="gramStart"/>
                        <w:r w:rsidRPr="002C380F">
                          <w:rPr>
                            <w:color w:val="000000" w:themeColor="text1"/>
                            <w:kern w:val="24"/>
                            <w:sz w:val="20"/>
                          </w:rPr>
                          <w:t>cost</w:t>
                        </w:r>
                        <w:proofErr w:type="gramEnd"/>
                        <w:r w:rsidRPr="002C380F">
                          <w:rPr>
                            <w:color w:val="000000" w:themeColor="text1"/>
                            <w:kern w:val="24"/>
                            <w:sz w:val="20"/>
                          </w:rPr>
                          <w:t xml:space="preserve"> </w:t>
                        </w:r>
                        <w:r w:rsidR="002B31FA" w:rsidRPr="002C380F">
                          <w:rPr>
                            <w:color w:val="000000" w:themeColor="text1"/>
                            <w:kern w:val="24"/>
                            <w:sz w:val="20"/>
                          </w:rPr>
                          <w:t xml:space="preserve">by </w:t>
                        </w:r>
                        <w:r w:rsidR="00405DBD">
                          <w:rPr>
                            <w:color w:val="000000" w:themeColor="text1"/>
                            <w:kern w:val="24"/>
                            <w:sz w:val="20"/>
                          </w:rPr>
                          <w:t>asset type</w:t>
                        </w:r>
                        <w:r w:rsidRPr="002C380F">
                          <w:rPr>
                            <w:color w:val="000000" w:themeColor="text1"/>
                            <w:kern w:val="24"/>
                            <w:sz w:val="20"/>
                          </w:rPr>
                          <w:t>,</w:t>
                        </w:r>
                      </w:p>
                      <w:p w14:paraId="08CDD63B" w14:textId="0C3D4495" w:rsidR="002B31FA" w:rsidRPr="002C380F" w:rsidRDefault="00DD6AE1" w:rsidP="002B31FA">
                        <w:pPr>
                          <w:pStyle w:val="NormalWeb"/>
                          <w:spacing w:before="0" w:beforeAutospacing="0" w:after="0" w:afterAutospacing="0"/>
                          <w:rPr>
                            <w:color w:val="000000" w:themeColor="text1"/>
                            <w:kern w:val="24"/>
                            <w:sz w:val="20"/>
                          </w:rPr>
                        </w:pPr>
                        <w:proofErr w:type="gramStart"/>
                        <w:r w:rsidRPr="002C380F">
                          <w:rPr>
                            <w:color w:val="000000" w:themeColor="text1"/>
                            <w:kern w:val="24"/>
                            <w:sz w:val="20"/>
                          </w:rPr>
                          <w:t>efficiencies</w:t>
                        </w:r>
                        <w:proofErr w:type="gramEnd"/>
                        <w:r w:rsidR="002B31FA" w:rsidRPr="002C380F">
                          <w:rPr>
                            <w:color w:val="000000" w:themeColor="text1"/>
                            <w:kern w:val="24"/>
                            <w:sz w:val="20"/>
                          </w:rPr>
                          <w:t xml:space="preserve"> by </w:t>
                        </w:r>
                        <w:r w:rsidR="00E8067D">
                          <w:rPr>
                            <w:color w:val="000000" w:themeColor="text1"/>
                            <w:kern w:val="24"/>
                            <w:sz w:val="20"/>
                          </w:rPr>
                          <w:t>asset</w:t>
                        </w:r>
                        <w:r w:rsidR="00405DBD">
                          <w:rPr>
                            <w:color w:val="000000" w:themeColor="text1"/>
                            <w:kern w:val="24"/>
                            <w:sz w:val="20"/>
                          </w:rPr>
                          <w:t xml:space="preserve"> type</w:t>
                        </w:r>
                        <w:r w:rsidR="002B31FA" w:rsidRPr="002C380F">
                          <w:rPr>
                            <w:color w:val="000000" w:themeColor="text1"/>
                            <w:kern w:val="24"/>
                            <w:sz w:val="20"/>
                          </w:rPr>
                          <w:t>,</w:t>
                        </w:r>
                      </w:p>
                      <w:p w14:paraId="10B73E07" w14:textId="0C004611" w:rsidR="002B31FA" w:rsidRPr="002C380F" w:rsidRDefault="00DD6AE1" w:rsidP="00DD6AE1">
                        <w:pPr>
                          <w:pStyle w:val="NormalWeb"/>
                          <w:spacing w:before="0" w:beforeAutospacing="0" w:after="0" w:afterAutospacing="0"/>
                          <w:rPr>
                            <w:color w:val="000000" w:themeColor="text1"/>
                            <w:kern w:val="24"/>
                            <w:sz w:val="20"/>
                          </w:rPr>
                        </w:pPr>
                        <w:proofErr w:type="gramStart"/>
                        <w:r w:rsidRPr="002C380F">
                          <w:rPr>
                            <w:color w:val="000000" w:themeColor="text1"/>
                            <w:kern w:val="24"/>
                            <w:sz w:val="20"/>
                          </w:rPr>
                          <w:t>emissions</w:t>
                        </w:r>
                        <w:proofErr w:type="gramEnd"/>
                        <w:r w:rsidR="002C380F">
                          <w:rPr>
                            <w:color w:val="000000" w:themeColor="text1"/>
                            <w:kern w:val="24"/>
                            <w:sz w:val="20"/>
                          </w:rPr>
                          <w:t xml:space="preserve"> by </w:t>
                        </w:r>
                        <w:r w:rsidR="00E8067D">
                          <w:rPr>
                            <w:color w:val="000000" w:themeColor="text1"/>
                            <w:kern w:val="24"/>
                            <w:sz w:val="20"/>
                          </w:rPr>
                          <w:t>asset</w:t>
                        </w:r>
                        <w:r w:rsidR="00405DBD">
                          <w:rPr>
                            <w:color w:val="000000" w:themeColor="text1"/>
                            <w:kern w:val="24"/>
                            <w:sz w:val="20"/>
                          </w:rPr>
                          <w:t xml:space="preserve"> type</w:t>
                        </w:r>
                        <w:r w:rsidR="00E8067D">
                          <w:rPr>
                            <w:color w:val="000000" w:themeColor="text1"/>
                            <w:kern w:val="24"/>
                            <w:sz w:val="20"/>
                          </w:rPr>
                          <w:t>,</w:t>
                        </w:r>
                      </w:p>
                      <w:p w14:paraId="28D14E83" w14:textId="576B082F" w:rsidR="000D28D3" w:rsidRPr="002C380F" w:rsidRDefault="002B31FA" w:rsidP="00DD6AE1">
                        <w:pPr>
                          <w:pStyle w:val="NormalWeb"/>
                          <w:spacing w:before="0" w:beforeAutospacing="0" w:after="0" w:afterAutospacing="0"/>
                          <w:rPr>
                            <w:color w:val="000000" w:themeColor="text1"/>
                            <w:kern w:val="24"/>
                            <w:sz w:val="20"/>
                          </w:rPr>
                        </w:pPr>
                        <w:proofErr w:type="gramStart"/>
                        <w:r w:rsidRPr="002C380F">
                          <w:rPr>
                            <w:color w:val="000000" w:themeColor="text1"/>
                            <w:kern w:val="24"/>
                            <w:sz w:val="20"/>
                          </w:rPr>
                          <w:t>operational</w:t>
                        </w:r>
                        <w:proofErr w:type="gramEnd"/>
                        <w:r w:rsidRPr="002C380F">
                          <w:rPr>
                            <w:color w:val="000000" w:themeColor="text1"/>
                            <w:kern w:val="24"/>
                            <w:sz w:val="20"/>
                          </w:rPr>
                          <w:t xml:space="preserve"> constraints </w:t>
                        </w:r>
                        <w:r w:rsidR="000D28D3" w:rsidRPr="002C380F">
                          <w:rPr>
                            <w:color w:val="000000" w:themeColor="text1"/>
                            <w:kern w:val="24"/>
                            <w:sz w:val="20"/>
                          </w:rPr>
                          <w:t xml:space="preserve">by </w:t>
                        </w:r>
                        <w:r w:rsidR="00E8067D">
                          <w:rPr>
                            <w:color w:val="000000" w:themeColor="text1"/>
                            <w:kern w:val="24"/>
                            <w:sz w:val="20"/>
                          </w:rPr>
                          <w:t>asset</w:t>
                        </w:r>
                        <w:r w:rsidR="00405DBD">
                          <w:rPr>
                            <w:color w:val="000000" w:themeColor="text1"/>
                            <w:kern w:val="24"/>
                            <w:sz w:val="20"/>
                          </w:rPr>
                          <w:t xml:space="preserve"> type</w:t>
                        </w:r>
                        <w:r w:rsidR="000D28D3" w:rsidRPr="002C380F">
                          <w:rPr>
                            <w:color w:val="000000" w:themeColor="text1"/>
                            <w:kern w:val="24"/>
                            <w:sz w:val="20"/>
                          </w:rPr>
                          <w:t>,</w:t>
                        </w:r>
                      </w:p>
                      <w:p w14:paraId="00EFC517" w14:textId="05301ED0" w:rsidR="00DD6AE1" w:rsidRPr="002C380F" w:rsidRDefault="00DD6AE1" w:rsidP="00DD6AE1">
                        <w:pPr>
                          <w:pStyle w:val="NormalWeb"/>
                          <w:spacing w:before="0" w:beforeAutospacing="0" w:after="0" w:afterAutospacing="0"/>
                          <w:rPr>
                            <w:sz w:val="20"/>
                          </w:rPr>
                        </w:pPr>
                        <w:proofErr w:type="gramStart"/>
                        <w:r w:rsidRPr="002C380F">
                          <w:rPr>
                            <w:color w:val="000000" w:themeColor="text1"/>
                            <w:kern w:val="24"/>
                            <w:sz w:val="20"/>
                          </w:rPr>
                          <w:t>existing</w:t>
                        </w:r>
                        <w:proofErr w:type="gramEnd"/>
                        <w:r w:rsidRPr="002C380F">
                          <w:rPr>
                            <w:color w:val="000000" w:themeColor="text1"/>
                            <w:kern w:val="24"/>
                            <w:sz w:val="20"/>
                          </w:rPr>
                          <w:t xml:space="preserve"> </w:t>
                        </w:r>
                        <w:r w:rsidR="004F043C" w:rsidRPr="002C380F">
                          <w:rPr>
                            <w:color w:val="000000" w:themeColor="text1"/>
                            <w:kern w:val="24"/>
                            <w:sz w:val="20"/>
                          </w:rPr>
                          <w:t xml:space="preserve">stock </w:t>
                        </w:r>
                        <w:r w:rsidRPr="002C380F">
                          <w:rPr>
                            <w:color w:val="000000" w:themeColor="text1"/>
                            <w:kern w:val="24"/>
                            <w:sz w:val="20"/>
                          </w:rPr>
                          <w:t xml:space="preserve">by </w:t>
                        </w:r>
                        <w:r w:rsidR="00E8067D">
                          <w:rPr>
                            <w:color w:val="000000" w:themeColor="text1"/>
                            <w:kern w:val="24"/>
                            <w:sz w:val="20"/>
                          </w:rPr>
                          <w:t>asset</w:t>
                        </w:r>
                        <w:r w:rsidR="004F043C" w:rsidRPr="002C380F">
                          <w:rPr>
                            <w:color w:val="000000" w:themeColor="text1"/>
                            <w:kern w:val="24"/>
                            <w:sz w:val="20"/>
                          </w:rPr>
                          <w:t xml:space="preserve"> </w:t>
                        </w:r>
                        <w:r w:rsidR="00405DBD">
                          <w:rPr>
                            <w:color w:val="000000" w:themeColor="text1"/>
                            <w:kern w:val="24"/>
                            <w:sz w:val="20"/>
                          </w:rPr>
                          <w:t xml:space="preserve">type </w:t>
                        </w:r>
                        <w:r w:rsidR="004F043C" w:rsidRPr="002C380F">
                          <w:rPr>
                            <w:color w:val="000000" w:themeColor="text1"/>
                            <w:kern w:val="24"/>
                            <w:sz w:val="20"/>
                          </w:rPr>
                          <w:t>and retirement profile</w:t>
                        </w:r>
                      </w:p>
                    </w:txbxContent>
                  </v:textbox>
                </v:shape>
                <v:shape id="TextBox 6" o:spid="_x0000_s1031" type="#_x0000_t202" style="position:absolute;left:26765;top:18154;width:23241;height:12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0968A1EE" w14:textId="77777777" w:rsidR="00DD6AE1" w:rsidRPr="002C380F" w:rsidRDefault="00DD6AE1" w:rsidP="00DD6AE1">
                        <w:pPr>
                          <w:pStyle w:val="NormalWeb"/>
                          <w:spacing w:before="0" w:beforeAutospacing="0" w:after="0" w:afterAutospacing="0"/>
                          <w:jc w:val="center"/>
                        </w:pPr>
                        <w:r w:rsidRPr="002C380F">
                          <w:rPr>
                            <w:b/>
                            <w:bCs/>
                            <w:color w:val="000000" w:themeColor="text1"/>
                            <w:kern w:val="24"/>
                          </w:rPr>
                          <w:t>Specific Outputs:</w:t>
                        </w:r>
                      </w:p>
                      <w:p w14:paraId="0E18DF23" w14:textId="77777777" w:rsidR="00DD6AE1" w:rsidRPr="002C380F" w:rsidRDefault="00DD6AE1" w:rsidP="00DD6AE1">
                        <w:pPr>
                          <w:pStyle w:val="NormalWeb"/>
                          <w:spacing w:before="0" w:beforeAutospacing="0" w:after="0" w:afterAutospacing="0"/>
                          <w:jc w:val="center"/>
                          <w:rPr>
                            <w:sz w:val="20"/>
                          </w:rPr>
                        </w:pPr>
                        <w:proofErr w:type="gramStart"/>
                        <w:r w:rsidRPr="002C380F">
                          <w:rPr>
                            <w:color w:val="000000" w:themeColor="text1"/>
                            <w:kern w:val="24"/>
                            <w:sz w:val="20"/>
                          </w:rPr>
                          <w:t>aggregate</w:t>
                        </w:r>
                        <w:proofErr w:type="gramEnd"/>
                        <w:r w:rsidRPr="002C380F">
                          <w:rPr>
                            <w:color w:val="000000" w:themeColor="text1"/>
                            <w:kern w:val="24"/>
                            <w:sz w:val="20"/>
                          </w:rPr>
                          <w:t xml:space="preserve"> CAPEX,</w:t>
                        </w:r>
                      </w:p>
                      <w:p w14:paraId="6B34FF1E" w14:textId="2DC534B8" w:rsidR="00DD6AE1" w:rsidRPr="002C380F" w:rsidRDefault="00DD6AE1" w:rsidP="00DD6AE1">
                        <w:pPr>
                          <w:pStyle w:val="NormalWeb"/>
                          <w:spacing w:before="0" w:beforeAutospacing="0" w:after="0" w:afterAutospacing="0"/>
                          <w:jc w:val="center"/>
                          <w:rPr>
                            <w:sz w:val="20"/>
                          </w:rPr>
                        </w:pPr>
                        <w:proofErr w:type="gramStart"/>
                        <w:r w:rsidRPr="002C380F">
                          <w:rPr>
                            <w:color w:val="000000" w:themeColor="text1"/>
                            <w:kern w:val="24"/>
                            <w:sz w:val="20"/>
                          </w:rPr>
                          <w:t>aggregate</w:t>
                        </w:r>
                        <w:proofErr w:type="gramEnd"/>
                        <w:r w:rsidRPr="002C380F">
                          <w:rPr>
                            <w:color w:val="000000" w:themeColor="text1"/>
                            <w:kern w:val="24"/>
                            <w:sz w:val="20"/>
                          </w:rPr>
                          <w:t xml:space="preserve"> OPEX,</w:t>
                        </w:r>
                      </w:p>
                      <w:p w14:paraId="6B2C0956" w14:textId="42B888B9" w:rsidR="00DD6AE1" w:rsidRPr="002C380F" w:rsidRDefault="00DD6AE1" w:rsidP="00DD6AE1">
                        <w:pPr>
                          <w:pStyle w:val="NormalWeb"/>
                          <w:spacing w:before="0" w:beforeAutospacing="0" w:after="0" w:afterAutospacing="0"/>
                          <w:jc w:val="center"/>
                          <w:rPr>
                            <w:sz w:val="20"/>
                          </w:rPr>
                        </w:pPr>
                        <w:proofErr w:type="gramStart"/>
                        <w:r w:rsidRPr="002C380F">
                          <w:rPr>
                            <w:color w:val="000000" w:themeColor="text1"/>
                            <w:kern w:val="24"/>
                            <w:sz w:val="20"/>
                          </w:rPr>
                          <w:t>production</w:t>
                        </w:r>
                        <w:proofErr w:type="gramEnd"/>
                        <w:r w:rsidRPr="002C380F">
                          <w:rPr>
                            <w:color w:val="000000" w:themeColor="text1"/>
                            <w:kern w:val="24"/>
                            <w:sz w:val="20"/>
                          </w:rPr>
                          <w:t xml:space="preserve"> by </w:t>
                        </w:r>
                        <w:r w:rsidR="00130A57">
                          <w:rPr>
                            <w:color w:val="000000" w:themeColor="text1"/>
                            <w:kern w:val="24"/>
                            <w:sz w:val="20"/>
                          </w:rPr>
                          <w:t>technology</w:t>
                        </w:r>
                        <w:r w:rsidRPr="002C380F">
                          <w:rPr>
                            <w:color w:val="000000" w:themeColor="text1"/>
                            <w:kern w:val="24"/>
                            <w:sz w:val="20"/>
                          </w:rPr>
                          <w:t xml:space="preserve">, emissions by </w:t>
                        </w:r>
                        <w:r w:rsidR="00130A57">
                          <w:rPr>
                            <w:color w:val="000000" w:themeColor="text1"/>
                            <w:kern w:val="24"/>
                            <w:sz w:val="20"/>
                          </w:rPr>
                          <w:t>technology</w:t>
                        </w:r>
                        <w:r w:rsidRPr="002C380F">
                          <w:rPr>
                            <w:color w:val="000000" w:themeColor="text1"/>
                            <w:kern w:val="24"/>
                            <w:sz w:val="20"/>
                          </w:rPr>
                          <w:t>,</w:t>
                        </w:r>
                      </w:p>
                      <w:p w14:paraId="136F0BFA" w14:textId="174A5D20" w:rsidR="00DD6AE1" w:rsidRPr="002C380F" w:rsidRDefault="00DD6AE1" w:rsidP="00DD6AE1">
                        <w:pPr>
                          <w:pStyle w:val="NormalWeb"/>
                          <w:spacing w:before="0" w:beforeAutospacing="0" w:after="0" w:afterAutospacing="0"/>
                          <w:jc w:val="center"/>
                          <w:rPr>
                            <w:sz w:val="20"/>
                          </w:rPr>
                        </w:pPr>
                        <w:proofErr w:type="gramStart"/>
                        <w:r w:rsidRPr="002C380F">
                          <w:rPr>
                            <w:color w:val="000000" w:themeColor="text1"/>
                            <w:kern w:val="24"/>
                            <w:sz w:val="20"/>
                          </w:rPr>
                          <w:t>capacity</w:t>
                        </w:r>
                        <w:proofErr w:type="gramEnd"/>
                        <w:r w:rsidRPr="002C380F">
                          <w:rPr>
                            <w:color w:val="000000" w:themeColor="text1"/>
                            <w:kern w:val="24"/>
                            <w:sz w:val="20"/>
                          </w:rPr>
                          <w:t xml:space="preserve"> by </w:t>
                        </w:r>
                        <w:r w:rsidR="00130A57">
                          <w:rPr>
                            <w:color w:val="000000" w:themeColor="text1"/>
                            <w:kern w:val="24"/>
                            <w:sz w:val="20"/>
                          </w:rPr>
                          <w:t>technology</w:t>
                        </w:r>
                      </w:p>
                    </w:txbxContent>
                  </v:textbox>
                </v:shape>
                <v:shapetype id="_x0000_t32" coordsize="21600,21600" o:spt="32" o:oned="t" path="m,l21600,21600e" filled="f">
                  <v:path arrowok="t" fillok="f" o:connecttype="none"/>
                  <o:lock v:ext="edit" shapetype="t"/>
                </v:shapetype>
                <v:shape id="Straight Arrow Connector 6" o:spid="_x0000_s1032" type="#_x0000_t32" style="position:absolute;left:21499;top:5078;width:11457;height: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Xpq8QAAADaAAAADwAAAGRycy9kb3ducmV2LnhtbESPzWrDMBCE74W+g9hCb43stiTGjRJM&#10;oTQ9+BCnD7C1traJtTKW/JM8fRQI5DjMzDfMejubVozUu8aygngRgSAurW64UvB7+HpJQDiPrLG1&#10;TApO5GC7eXxYY6rtxHsaC1+JAGGXooLa+y6V0pU1GXQL2xEH79/2Bn2QfSV1j1OAm1a+RtFSGmw4&#10;LNTY0WdN5bEYjILv41v8U3GS/A2r8yGy71ke55NSz09z9gHC0+zv4Vt7pxUs4Xol3AC5u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emrxAAAANoAAAAPAAAAAAAAAAAA&#10;AAAAAKECAABkcnMvZG93bnJldi54bWxQSwUGAAAAAAQABAD5AAAAkgMAAAAA&#10;" strokecolor="black [3213]" strokeweight="1.5pt">
                  <v:stroke endarrow="block" joinstyle="miter"/>
                </v:shape>
                <v:shape id="Straight Arrow Connector 7" o:spid="_x0000_s1033" type="#_x0000_t32" style="position:absolute;left:44481;top:1839;width:11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grTsYAAADaAAAADwAAAGRycy9kb3ducmV2LnhtbESPT2vCQBTE74LfYXlCL9Js9NBKmlWk&#10;VWilh/jn0ONr9plEs29DdtXop+8KBY/DzPyGSWedqcWZWldZVjCKYhDEudUVFwp22+XzBITzyBpr&#10;y6TgSg5m034vxUTbC6/pvPGFCBB2CSoovW8SKV1ekkEX2YY4eHvbGvRBtoXULV4C3NRyHMcv0mDF&#10;YaHEht5Lyo+bk1GQNUP3s/3aZavb6dvcficfC5sdlHoadPM3EJ46/wj/tz+1gle4Xwk3QE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4K07GAAAA2gAAAA8AAAAAAAAA&#10;AAAAAAAAoQIAAGRycy9kb3ducmV2LnhtbFBLBQYAAAAABAAEAPkAAACUAwAAAAA=&#10;" strokecolor="black [3213]" strokeweight="1.5pt">
                  <v:stroke endarrow="block" joinstyle="miter"/>
                </v:shape>
                <v:shape id="Straight Arrow Connector 8" o:spid="_x0000_s1034" type="#_x0000_t32" style="position:absolute;left:44481;top:8221;width:11049;height: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bYQsAAAADaAAAADwAAAGRycy9kb3ducmV2LnhtbERPy4rCMBTdD8w/hDvgbkyroqVjKiKI&#10;unDh4wOuzZ22tLkpTbR1vn6yEFweznu5GkwjHtS5yrKCeByBIM6trrhQcL1svxMQziNrbCyTgic5&#10;WGWfH0tMte35RI+zL0QIYZeigtL7NpXS5SUZdGPbEgfu13YGfYBdIXWHfQg3jZxE0VwarDg0lNjS&#10;pqS8Pt+Ngl09jQ8FJ8ntvvi7RHa2PsbHXqnR17D+AeFp8G/xy73XCsLWcCXcAJn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G2ELAAAAA2gAAAA8AAAAAAAAAAAAAAAAA&#10;oQIAAGRycy9kb3ducmV2LnhtbFBLBQYAAAAABAAEAPkAAACOAwAAAAA=&#10;" strokecolor="black [3213]" strokeweight="1.5pt">
                  <v:stroke endarrow="block" joinstyle="miter"/>
                </v:shape>
                <v:shape id="Straight Arrow Connector 9" o:spid="_x0000_s1035" type="#_x0000_t32" style="position:absolute;left:38719;top:10156;width:0;height:80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p92cQAAADaAAAADwAAAGRycy9kb3ducmV2LnhtbESPzWrDMBCE74G+g9hCb43spLSuEyWE&#10;QGh7yCF2H2BrbWwTa2Us+Sd5+qpQyHGYmW+Y9XYyjRioc7VlBfE8AkFcWF1zqeA7PzwnIJxH1thY&#10;JgVXcrDdPMzWmGo78omGzJciQNilqKDyvk2ldEVFBt3ctsTBO9vOoA+yK6XucAxw08hFFL1KgzWH&#10;hQpb2ldUXLLeKPi4LOOvkpPkp3+75ZF92R3j46jU0+O0W4HwNPl7+L/9qRW8w9+VcAP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yn3ZxAAAANoAAAAPAAAAAAAAAAAA&#10;AAAAAKECAABkcnMvZG93bnJldi54bWxQSwUGAAAAAAQABAD5AAAAkgMAAAAA&#10;" strokecolor="black [3213]" strokeweight="1.5pt">
                  <v:stroke endarrow="block" joinstyle="miter"/>
                </v:shape>
                <w10:wrap type="topAndBottom" anchorx="margin"/>
              </v:group>
            </w:pict>
          </mc:Fallback>
        </mc:AlternateContent>
      </w:r>
      <w:r>
        <w:rPr>
          <w:noProof/>
          <w:lang w:eastAsia="en-GB"/>
        </w:rPr>
        <mc:AlternateContent>
          <mc:Choice Requires="wps">
            <w:drawing>
              <wp:anchor distT="0" distB="0" distL="114300" distR="114300" simplePos="0" relativeHeight="251661312" behindDoc="0" locked="0" layoutInCell="1" allowOverlap="1" wp14:anchorId="3FC86E46" wp14:editId="26B5D6F5">
                <wp:simplePos x="0" y="0"/>
                <wp:positionH relativeFrom="margin">
                  <wp:align>right</wp:align>
                </wp:positionH>
                <wp:positionV relativeFrom="paragraph">
                  <wp:posOffset>1296670</wp:posOffset>
                </wp:positionV>
                <wp:extent cx="2621280" cy="711689"/>
                <wp:effectExtent l="0" t="0" r="0" b="0"/>
                <wp:wrapNone/>
                <wp:docPr id="12" name="TextBox 5"/>
                <wp:cNvGraphicFramePr/>
                <a:graphic xmlns:a="http://schemas.openxmlformats.org/drawingml/2006/main">
                  <a:graphicData uri="http://schemas.microsoft.com/office/word/2010/wordprocessingShape">
                    <wps:wsp>
                      <wps:cNvSpPr txBox="1"/>
                      <wps:spPr>
                        <a:xfrm>
                          <a:off x="0" y="0"/>
                          <a:ext cx="2621280" cy="711689"/>
                        </a:xfrm>
                        <a:prstGeom prst="rect">
                          <a:avLst/>
                        </a:prstGeom>
                        <a:noFill/>
                      </wps:spPr>
                      <wps:txbx>
                        <w:txbxContent>
                          <w:p w14:paraId="6791F22D" w14:textId="3041E85F" w:rsidR="00D15789" w:rsidRDefault="002B31FA" w:rsidP="000D28D3">
                            <w:pPr>
                              <w:pStyle w:val="NormalWeb"/>
                              <w:spacing w:before="0" w:beforeAutospacing="0" w:after="0" w:afterAutospacing="0"/>
                              <w:rPr>
                                <w:rFonts w:asciiTheme="minorHAnsi" w:hAnsi="Calibri" w:cstheme="minorBidi"/>
                                <w:bCs/>
                                <w:color w:val="000000" w:themeColor="text1"/>
                                <w:kern w:val="24"/>
                                <w:sz w:val="20"/>
                              </w:rPr>
                            </w:pPr>
                            <w:proofErr w:type="gramStart"/>
                            <w:r w:rsidRPr="004A5023">
                              <w:rPr>
                                <w:rFonts w:asciiTheme="minorHAnsi" w:hAnsi="Calibri" w:cstheme="minorBidi"/>
                                <w:bCs/>
                                <w:color w:val="000000" w:themeColor="text1"/>
                                <w:kern w:val="24"/>
                                <w:sz w:val="20"/>
                              </w:rPr>
                              <w:t>forward</w:t>
                            </w:r>
                            <w:proofErr w:type="gramEnd"/>
                            <w:r w:rsidRPr="004A5023">
                              <w:rPr>
                                <w:rFonts w:asciiTheme="minorHAnsi" w:hAnsi="Calibri" w:cstheme="minorBidi"/>
                                <w:bCs/>
                                <w:color w:val="000000" w:themeColor="text1"/>
                                <w:kern w:val="24"/>
                                <w:sz w:val="20"/>
                              </w:rPr>
                              <w:t xml:space="preserve"> </w:t>
                            </w:r>
                            <w:r w:rsidR="0099033D" w:rsidRPr="004A5023">
                              <w:rPr>
                                <w:rFonts w:asciiTheme="minorHAnsi" w:hAnsi="Calibri" w:cstheme="minorBidi"/>
                                <w:bCs/>
                                <w:color w:val="000000" w:themeColor="text1"/>
                                <w:kern w:val="24"/>
                                <w:sz w:val="20"/>
                              </w:rPr>
                              <w:t>s</w:t>
                            </w:r>
                            <w:r w:rsidR="000D28D3" w:rsidRPr="004A5023">
                              <w:rPr>
                                <w:rFonts w:asciiTheme="minorHAnsi" w:hAnsi="Calibri" w:cstheme="minorBidi"/>
                                <w:bCs/>
                                <w:color w:val="000000" w:themeColor="text1"/>
                                <w:kern w:val="24"/>
                                <w:sz w:val="20"/>
                              </w:rPr>
                              <w:t xml:space="preserve">upply </w:t>
                            </w:r>
                            <w:r w:rsidR="007A0118" w:rsidRPr="004A5023">
                              <w:rPr>
                                <w:rFonts w:asciiTheme="minorHAnsi" w:hAnsi="Calibri" w:cstheme="minorBidi"/>
                                <w:bCs/>
                                <w:color w:val="000000" w:themeColor="text1"/>
                                <w:kern w:val="24"/>
                                <w:sz w:val="20"/>
                              </w:rPr>
                              <w:t xml:space="preserve">cost </w:t>
                            </w:r>
                            <w:r w:rsidR="004A5023" w:rsidRPr="004A5023">
                              <w:rPr>
                                <w:rFonts w:asciiTheme="minorHAnsi" w:hAnsi="Calibri" w:cstheme="minorBidi"/>
                                <w:bCs/>
                                <w:color w:val="000000" w:themeColor="text1"/>
                                <w:kern w:val="24"/>
                                <w:sz w:val="20"/>
                              </w:rPr>
                              <w:t xml:space="preserve">of </w:t>
                            </w:r>
                            <w:r w:rsidR="00D15789">
                              <w:rPr>
                                <w:rFonts w:asciiTheme="minorHAnsi" w:hAnsi="Calibri" w:cstheme="minorBidi"/>
                                <w:bCs/>
                                <w:color w:val="000000" w:themeColor="text1"/>
                                <w:kern w:val="24"/>
                                <w:sz w:val="20"/>
                              </w:rPr>
                              <w:t>fuels,</w:t>
                            </w:r>
                          </w:p>
                          <w:p w14:paraId="01839E3B" w14:textId="27EB681F" w:rsidR="000D28D3" w:rsidRPr="000D28D3" w:rsidRDefault="002B31FA" w:rsidP="000D28D3">
                            <w:pPr>
                              <w:pStyle w:val="NormalWeb"/>
                              <w:spacing w:before="0" w:beforeAutospacing="0" w:after="0" w:afterAutospacing="0"/>
                              <w:rPr>
                                <w:sz w:val="20"/>
                              </w:rPr>
                            </w:pPr>
                            <w:proofErr w:type="gramStart"/>
                            <w:r w:rsidRPr="004A5023">
                              <w:rPr>
                                <w:rFonts w:asciiTheme="minorHAnsi" w:hAnsi="Calibri" w:cstheme="minorBidi"/>
                                <w:bCs/>
                                <w:color w:val="000000" w:themeColor="text1"/>
                                <w:kern w:val="24"/>
                                <w:sz w:val="20"/>
                              </w:rPr>
                              <w:t>forward</w:t>
                            </w:r>
                            <w:proofErr w:type="gramEnd"/>
                            <w:r w:rsidRPr="004A5023">
                              <w:rPr>
                                <w:rFonts w:asciiTheme="minorHAnsi" w:hAnsi="Calibri" w:cstheme="minorBidi"/>
                                <w:bCs/>
                                <w:color w:val="000000" w:themeColor="text1"/>
                                <w:kern w:val="24"/>
                                <w:sz w:val="20"/>
                              </w:rPr>
                              <w:t xml:space="preserve"> </w:t>
                            </w:r>
                            <w:r w:rsidR="0099033D" w:rsidRPr="004A5023">
                              <w:rPr>
                                <w:rFonts w:asciiTheme="minorHAnsi" w:hAnsi="Calibri" w:cstheme="minorBidi"/>
                                <w:bCs/>
                                <w:color w:val="000000" w:themeColor="text1"/>
                                <w:kern w:val="24"/>
                                <w:sz w:val="20"/>
                              </w:rPr>
                              <w:t>carbon price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C86E46" id="_x0000_s1036" type="#_x0000_t202" style="position:absolute;left:0;text-align:left;margin-left:155.2pt;margin-top:102.1pt;width:206.4pt;height:56.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" filled="f" stroked="f">
                <v:textbox>
                  <w:txbxContent>
                    <w:p w14:paraId="6791F22D" w14:textId="3041E85F" w:rsidR="00D15789" w:rsidRDefault="002B31FA" w:rsidP="000D28D3">
                      <w:pPr>
                        <w:pStyle w:val="NormalWeb"/>
                        <w:spacing w:before="0" w:beforeAutospacing="0" w:after="0" w:afterAutospacing="0"/>
                        <w:rPr>
                          <w:rFonts w:asciiTheme="minorHAnsi" w:hAnsi="Calibri" w:cstheme="minorBidi"/>
                          <w:bCs/>
                          <w:color w:val="000000" w:themeColor="text1"/>
                          <w:kern w:val="24"/>
                          <w:sz w:val="20"/>
                        </w:rPr>
                      </w:pPr>
                      <w:proofErr w:type="gramStart"/>
                      <w:r w:rsidRPr="004A5023">
                        <w:rPr>
                          <w:rFonts w:asciiTheme="minorHAnsi" w:hAnsi="Calibri" w:cstheme="minorBidi"/>
                          <w:bCs/>
                          <w:color w:val="000000" w:themeColor="text1"/>
                          <w:kern w:val="24"/>
                          <w:sz w:val="20"/>
                        </w:rPr>
                        <w:t>forward</w:t>
                      </w:r>
                      <w:proofErr w:type="gramEnd"/>
                      <w:r w:rsidRPr="004A5023">
                        <w:rPr>
                          <w:rFonts w:asciiTheme="minorHAnsi" w:hAnsi="Calibri" w:cstheme="minorBidi"/>
                          <w:bCs/>
                          <w:color w:val="000000" w:themeColor="text1"/>
                          <w:kern w:val="24"/>
                          <w:sz w:val="20"/>
                        </w:rPr>
                        <w:t xml:space="preserve"> </w:t>
                      </w:r>
                      <w:r w:rsidR="0099033D" w:rsidRPr="004A5023">
                        <w:rPr>
                          <w:rFonts w:asciiTheme="minorHAnsi" w:hAnsi="Calibri" w:cstheme="minorBidi"/>
                          <w:bCs/>
                          <w:color w:val="000000" w:themeColor="text1"/>
                          <w:kern w:val="24"/>
                          <w:sz w:val="20"/>
                        </w:rPr>
                        <w:t>s</w:t>
                      </w:r>
                      <w:r w:rsidR="000D28D3" w:rsidRPr="004A5023">
                        <w:rPr>
                          <w:rFonts w:asciiTheme="minorHAnsi" w:hAnsi="Calibri" w:cstheme="minorBidi"/>
                          <w:bCs/>
                          <w:color w:val="000000" w:themeColor="text1"/>
                          <w:kern w:val="24"/>
                          <w:sz w:val="20"/>
                        </w:rPr>
                        <w:t xml:space="preserve">upply </w:t>
                      </w:r>
                      <w:r w:rsidR="007A0118" w:rsidRPr="004A5023">
                        <w:rPr>
                          <w:rFonts w:asciiTheme="minorHAnsi" w:hAnsi="Calibri" w:cstheme="minorBidi"/>
                          <w:bCs/>
                          <w:color w:val="000000" w:themeColor="text1"/>
                          <w:kern w:val="24"/>
                          <w:sz w:val="20"/>
                        </w:rPr>
                        <w:t xml:space="preserve">cost </w:t>
                      </w:r>
                      <w:r w:rsidR="004A5023" w:rsidRPr="004A5023">
                        <w:rPr>
                          <w:rFonts w:asciiTheme="minorHAnsi" w:hAnsi="Calibri" w:cstheme="minorBidi"/>
                          <w:bCs/>
                          <w:color w:val="000000" w:themeColor="text1"/>
                          <w:kern w:val="24"/>
                          <w:sz w:val="20"/>
                        </w:rPr>
                        <w:t xml:space="preserve">of </w:t>
                      </w:r>
                      <w:r w:rsidR="00D15789">
                        <w:rPr>
                          <w:rFonts w:asciiTheme="minorHAnsi" w:hAnsi="Calibri" w:cstheme="minorBidi"/>
                          <w:bCs/>
                          <w:color w:val="000000" w:themeColor="text1"/>
                          <w:kern w:val="24"/>
                          <w:sz w:val="20"/>
                        </w:rPr>
                        <w:t>fuels,</w:t>
                      </w:r>
                    </w:p>
                    <w:p w14:paraId="01839E3B" w14:textId="27EB681F" w:rsidR="000D28D3" w:rsidRPr="000D28D3" w:rsidRDefault="002B31FA" w:rsidP="000D28D3">
                      <w:pPr>
                        <w:pStyle w:val="NormalWeb"/>
                        <w:spacing w:before="0" w:beforeAutospacing="0" w:after="0" w:afterAutospacing="0"/>
                        <w:rPr>
                          <w:sz w:val="20"/>
                        </w:rPr>
                      </w:pPr>
                      <w:proofErr w:type="gramStart"/>
                      <w:r w:rsidRPr="004A5023">
                        <w:rPr>
                          <w:rFonts w:asciiTheme="minorHAnsi" w:hAnsi="Calibri" w:cstheme="minorBidi"/>
                          <w:bCs/>
                          <w:color w:val="000000" w:themeColor="text1"/>
                          <w:kern w:val="24"/>
                          <w:sz w:val="20"/>
                        </w:rPr>
                        <w:t>forward</w:t>
                      </w:r>
                      <w:proofErr w:type="gramEnd"/>
                      <w:r w:rsidRPr="004A5023">
                        <w:rPr>
                          <w:rFonts w:asciiTheme="minorHAnsi" w:hAnsi="Calibri" w:cstheme="minorBidi"/>
                          <w:bCs/>
                          <w:color w:val="000000" w:themeColor="text1"/>
                          <w:kern w:val="24"/>
                          <w:sz w:val="20"/>
                        </w:rPr>
                        <w:t xml:space="preserve"> </w:t>
                      </w:r>
                      <w:r w:rsidR="0099033D" w:rsidRPr="004A5023">
                        <w:rPr>
                          <w:rFonts w:asciiTheme="minorHAnsi" w:hAnsi="Calibri" w:cstheme="minorBidi"/>
                          <w:bCs/>
                          <w:color w:val="000000" w:themeColor="text1"/>
                          <w:kern w:val="24"/>
                          <w:sz w:val="20"/>
                        </w:rPr>
                        <w:t>carbon price</w:t>
                      </w:r>
                    </w:p>
                  </w:txbxContent>
                </v:textbox>
                <w10:wrap anchorx="margin"/>
              </v:shape>
            </w:pict>
          </mc:Fallback>
        </mc:AlternateContent>
      </w:r>
    </w:p>
    <w:p w14:paraId="29204F4D" w14:textId="5F54D519" w:rsidR="00C808FB" w:rsidRDefault="00DD6AE1" w:rsidP="00EF23C9">
      <w:pPr>
        <w:pStyle w:val="Caption1"/>
        <w:ind w:left="0" w:firstLine="0"/>
        <w:jc w:val="center"/>
      </w:pPr>
      <w:r>
        <w:t xml:space="preserve">Figure 1: Major interactions between </w:t>
      </w:r>
      <w:r w:rsidR="000C7225">
        <w:t>I</w:t>
      </w:r>
      <w:r>
        <w:t>SM and the rest of MUSE</w:t>
      </w:r>
    </w:p>
    <w:p w14:paraId="7D88F2BF" w14:textId="77777777" w:rsidR="00EF23C9" w:rsidRDefault="00EF23C9" w:rsidP="00EF23C9">
      <w:pPr>
        <w:pStyle w:val="Caption1"/>
        <w:ind w:left="0" w:firstLine="0"/>
        <w:jc w:val="center"/>
      </w:pPr>
    </w:p>
    <w:p w14:paraId="29EADD42" w14:textId="4DFF74C2" w:rsidR="0085474F" w:rsidRPr="001F5628" w:rsidRDefault="00DB5B27" w:rsidP="00DD6AE1">
      <w:pPr>
        <w:pStyle w:val="Caption1"/>
        <w:ind w:left="0" w:firstLine="0"/>
        <w:jc w:val="center"/>
      </w:pPr>
      <w:r>
        <w:t xml:space="preserve">Table 1: Description of the data exchange protocol for the </w:t>
      </w:r>
      <w:r w:rsidR="000C7225">
        <w:t>I</w:t>
      </w:r>
      <w:r w:rsidR="00846A53">
        <w:t>SM</w:t>
      </w:r>
      <w:r w:rsidR="00127480">
        <w:t>.</w:t>
      </w:r>
    </w:p>
    <w:tbl>
      <w:tblPr>
        <w:tblStyle w:val="GridTable21"/>
        <w:tblW w:w="9070" w:type="dxa"/>
        <w:jc w:val="center"/>
        <w:tblLook w:val="04A0" w:firstRow="1" w:lastRow="0" w:firstColumn="1" w:lastColumn="0" w:noHBand="0" w:noVBand="1"/>
      </w:tblPr>
      <w:tblGrid>
        <w:gridCol w:w="4535"/>
        <w:gridCol w:w="4535"/>
      </w:tblGrid>
      <w:tr w:rsidR="00AA7532" w14:paraId="0239B227" w14:textId="77777777" w:rsidTr="000D79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5" w:type="dxa"/>
            <w:tcBorders>
              <w:bottom w:val="single" w:sz="24" w:space="0" w:color="auto"/>
            </w:tcBorders>
          </w:tcPr>
          <w:p w14:paraId="6F72B4C6" w14:textId="140FD165" w:rsidR="00CE6FBE" w:rsidRDefault="00836135" w:rsidP="00CE6FBE">
            <w:r>
              <w:t>I</w:t>
            </w:r>
            <w:r w:rsidR="00846A53">
              <w:t>SM</w:t>
            </w:r>
            <w:r w:rsidR="00AA7532">
              <w:t xml:space="preserve"> </w:t>
            </w:r>
            <w:r w:rsidR="00542C27">
              <w:t xml:space="preserve">Key </w:t>
            </w:r>
            <w:r w:rsidR="00CE6FBE">
              <w:t>Inputs</w:t>
            </w:r>
          </w:p>
        </w:tc>
        <w:tc>
          <w:tcPr>
            <w:tcW w:w="4535" w:type="dxa"/>
            <w:tcBorders>
              <w:bottom w:val="single" w:sz="24" w:space="0" w:color="auto"/>
            </w:tcBorders>
          </w:tcPr>
          <w:p w14:paraId="1E8E111C" w14:textId="73098616" w:rsidR="00CE6FBE" w:rsidRDefault="00836135" w:rsidP="00CE6FBE">
            <w:pPr>
              <w:cnfStyle w:val="100000000000" w:firstRow="1" w:lastRow="0" w:firstColumn="0" w:lastColumn="0" w:oddVBand="0" w:evenVBand="0" w:oddHBand="0" w:evenHBand="0" w:firstRowFirstColumn="0" w:firstRowLastColumn="0" w:lastRowFirstColumn="0" w:lastRowLastColumn="0"/>
            </w:pPr>
            <w:r>
              <w:t>I</w:t>
            </w:r>
            <w:r w:rsidR="00846A53">
              <w:t>SM</w:t>
            </w:r>
            <w:r w:rsidR="00AA7532">
              <w:t xml:space="preserve"> </w:t>
            </w:r>
            <w:r w:rsidR="00542C27">
              <w:t xml:space="preserve">Key </w:t>
            </w:r>
            <w:r w:rsidR="00CE6FBE">
              <w:t>Outputs</w:t>
            </w:r>
          </w:p>
        </w:tc>
      </w:tr>
      <w:tr w:rsidR="00AA7532" w14:paraId="51FB55BE" w14:textId="77777777" w:rsidTr="000D79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5" w:type="dxa"/>
            <w:tcBorders>
              <w:top w:val="single" w:sz="24" w:space="0" w:color="auto"/>
              <w:left w:val="single" w:sz="24" w:space="0" w:color="auto"/>
              <w:bottom w:val="single" w:sz="24" w:space="0" w:color="auto"/>
            </w:tcBorders>
          </w:tcPr>
          <w:p w14:paraId="364D2341" w14:textId="77777777" w:rsidR="00924D6C" w:rsidRPr="0040627C" w:rsidRDefault="00924D6C" w:rsidP="00924D6C">
            <w:pPr>
              <w:rPr>
                <w:sz w:val="20"/>
              </w:rPr>
            </w:pPr>
            <w:r w:rsidRPr="0040627C">
              <w:rPr>
                <w:sz w:val="20"/>
              </w:rPr>
              <w:t>MUSE core dynamic variables</w:t>
            </w:r>
          </w:p>
          <w:p w14:paraId="4FE16A0B" w14:textId="48288D7E" w:rsidR="00492C81" w:rsidRPr="0040627C" w:rsidRDefault="00492C81" w:rsidP="00492C81">
            <w:pPr>
              <w:pStyle w:val="ListParagraph"/>
              <w:numPr>
                <w:ilvl w:val="0"/>
                <w:numId w:val="1"/>
              </w:numPr>
              <w:rPr>
                <w:b w:val="0"/>
                <w:sz w:val="20"/>
              </w:rPr>
            </w:pPr>
            <w:r w:rsidRPr="0040627C">
              <w:rPr>
                <w:b w:val="0"/>
                <w:sz w:val="20"/>
              </w:rPr>
              <w:t xml:space="preserve">Forward </w:t>
            </w:r>
            <w:r w:rsidR="00D15789">
              <w:rPr>
                <w:b w:val="0"/>
                <w:sz w:val="20"/>
              </w:rPr>
              <w:t>fuel</w:t>
            </w:r>
            <w:r w:rsidRPr="0040627C">
              <w:rPr>
                <w:b w:val="0"/>
                <w:sz w:val="20"/>
              </w:rPr>
              <w:t xml:space="preserve"> price </w:t>
            </w:r>
            <w:r w:rsidR="003F1439" w:rsidRPr="0040627C">
              <w:rPr>
                <w:b w:val="0"/>
                <w:sz w:val="20"/>
              </w:rPr>
              <w:t xml:space="preserve">for each time period with </w:t>
            </w:r>
            <w:proofErr w:type="spellStart"/>
            <w:r w:rsidR="003F1439" w:rsidRPr="0040627C">
              <w:rPr>
                <w:b w:val="0"/>
                <w:sz w:val="20"/>
              </w:rPr>
              <w:t>timeslice</w:t>
            </w:r>
            <w:proofErr w:type="spellEnd"/>
            <w:r w:rsidR="003F1439" w:rsidRPr="0040627C">
              <w:rPr>
                <w:b w:val="0"/>
                <w:sz w:val="20"/>
              </w:rPr>
              <w:t xml:space="preserve"> disaggregation</w:t>
            </w:r>
            <w:r w:rsidRPr="0040627C">
              <w:rPr>
                <w:b w:val="0"/>
                <w:sz w:val="20"/>
              </w:rPr>
              <w:t xml:space="preserve"> (</w:t>
            </w:r>
            <w:r w:rsidR="00F27088" w:rsidRPr="0040627C">
              <w:rPr>
                <w:b w:val="0"/>
                <w:sz w:val="20"/>
              </w:rPr>
              <w:t>MUSD</w:t>
            </w:r>
            <w:r w:rsidR="00F27088" w:rsidRPr="0040627C">
              <w:rPr>
                <w:b w:val="0"/>
                <w:sz w:val="20"/>
                <w:vertAlign w:val="subscript"/>
              </w:rPr>
              <w:t>2010</w:t>
            </w:r>
            <w:r w:rsidR="00F27088" w:rsidRPr="0040627C">
              <w:rPr>
                <w:b w:val="0"/>
                <w:sz w:val="20"/>
              </w:rPr>
              <w:t>/</w:t>
            </w:r>
            <w:r w:rsidRPr="0040627C">
              <w:rPr>
                <w:b w:val="0"/>
                <w:sz w:val="20"/>
              </w:rPr>
              <w:t>PJ</w:t>
            </w:r>
            <w:r w:rsidR="00F27088" w:rsidRPr="0040627C">
              <w:rPr>
                <w:b w:val="0"/>
                <w:sz w:val="20"/>
              </w:rPr>
              <w:t>)</w:t>
            </w:r>
          </w:p>
          <w:p w14:paraId="108C4ECD" w14:textId="56C8F74F" w:rsidR="00F27088" w:rsidRPr="0023007F" w:rsidRDefault="00F27088" w:rsidP="0023007F">
            <w:pPr>
              <w:pStyle w:val="ListParagraph"/>
              <w:numPr>
                <w:ilvl w:val="0"/>
                <w:numId w:val="1"/>
              </w:numPr>
              <w:rPr>
                <w:sz w:val="20"/>
              </w:rPr>
            </w:pPr>
            <w:r w:rsidRPr="0040627C">
              <w:rPr>
                <w:b w:val="0"/>
                <w:sz w:val="20"/>
              </w:rPr>
              <w:t>Forward carbon price (MUSD</w:t>
            </w:r>
            <w:r w:rsidR="00492C81" w:rsidRPr="0040627C">
              <w:rPr>
                <w:b w:val="0"/>
                <w:sz w:val="20"/>
                <w:vertAlign w:val="subscript"/>
              </w:rPr>
              <w:t>2010</w:t>
            </w:r>
            <w:r w:rsidRPr="0040627C">
              <w:rPr>
                <w:b w:val="0"/>
                <w:sz w:val="20"/>
              </w:rPr>
              <w:t>/GtCO</w:t>
            </w:r>
            <w:r w:rsidRPr="0040627C">
              <w:rPr>
                <w:b w:val="0"/>
                <w:sz w:val="20"/>
                <w:vertAlign w:val="subscript"/>
              </w:rPr>
              <w:t>2</w:t>
            </w:r>
            <w:r w:rsidR="00492C81" w:rsidRPr="0040627C">
              <w:rPr>
                <w:b w:val="0"/>
                <w:sz w:val="20"/>
              </w:rPr>
              <w:t>)</w:t>
            </w:r>
          </w:p>
          <w:p w14:paraId="4DBF30E0" w14:textId="646CFB0C" w:rsidR="00924D6C" w:rsidRPr="0040627C" w:rsidRDefault="000C7225" w:rsidP="00132BBF">
            <w:pPr>
              <w:rPr>
                <w:sz w:val="20"/>
              </w:rPr>
            </w:pPr>
            <w:r w:rsidRPr="0040627C">
              <w:rPr>
                <w:sz w:val="20"/>
              </w:rPr>
              <w:t>I</w:t>
            </w:r>
            <w:r w:rsidR="00756CD1" w:rsidRPr="0040627C">
              <w:rPr>
                <w:sz w:val="20"/>
              </w:rPr>
              <w:t>SM-</w:t>
            </w:r>
            <w:r w:rsidR="00924D6C" w:rsidRPr="0040627C">
              <w:rPr>
                <w:sz w:val="20"/>
              </w:rPr>
              <w:t>specific input parameters</w:t>
            </w:r>
          </w:p>
          <w:p w14:paraId="0645217D" w14:textId="76C4780C" w:rsidR="008307BE" w:rsidRPr="0023007F" w:rsidRDefault="00492C81" w:rsidP="00492C81">
            <w:pPr>
              <w:pStyle w:val="ListParagraph"/>
              <w:numPr>
                <w:ilvl w:val="0"/>
                <w:numId w:val="13"/>
              </w:numPr>
              <w:ind w:left="357" w:hanging="357"/>
              <w:rPr>
                <w:sz w:val="20"/>
              </w:rPr>
            </w:pPr>
            <w:r w:rsidRPr="0040627C">
              <w:rPr>
                <w:b w:val="0"/>
                <w:sz w:val="20"/>
              </w:rPr>
              <w:t xml:space="preserve">Techno-economic characterisation (conversion efficiency, unit investment and operating costs) of each </w:t>
            </w:r>
            <w:r w:rsidR="00745F01" w:rsidRPr="0040627C">
              <w:rPr>
                <w:b w:val="0"/>
                <w:sz w:val="20"/>
              </w:rPr>
              <w:t>industrial</w:t>
            </w:r>
            <w:r w:rsidR="00B676AC" w:rsidRPr="0040627C">
              <w:rPr>
                <w:b w:val="0"/>
                <w:sz w:val="20"/>
              </w:rPr>
              <w:t xml:space="preserve"> process</w:t>
            </w:r>
            <w:r w:rsidRPr="0040627C">
              <w:rPr>
                <w:b w:val="0"/>
                <w:sz w:val="20"/>
              </w:rPr>
              <w:t xml:space="preserve"> by </w:t>
            </w:r>
            <w:r w:rsidR="00E8067D">
              <w:rPr>
                <w:b w:val="0"/>
                <w:sz w:val="20"/>
              </w:rPr>
              <w:t>asset</w:t>
            </w:r>
            <w:r w:rsidRPr="0040627C">
              <w:rPr>
                <w:b w:val="0"/>
                <w:sz w:val="20"/>
              </w:rPr>
              <w:t xml:space="preserve"> type in each time period and region</w:t>
            </w:r>
          </w:p>
          <w:p w14:paraId="15DFE62D" w14:textId="390539A0" w:rsidR="00E8067D" w:rsidRPr="0023007F" w:rsidRDefault="00E8067D" w:rsidP="0023007F">
            <w:pPr>
              <w:pStyle w:val="ListParagraph"/>
              <w:numPr>
                <w:ilvl w:val="0"/>
                <w:numId w:val="13"/>
              </w:numPr>
              <w:ind w:left="357" w:hanging="357"/>
              <w:rPr>
                <w:sz w:val="20"/>
              </w:rPr>
            </w:pPr>
            <w:r>
              <w:rPr>
                <w:b w:val="0"/>
                <w:sz w:val="20"/>
              </w:rPr>
              <w:t>Environmental</w:t>
            </w:r>
            <w:r w:rsidRPr="0023007F">
              <w:rPr>
                <w:b w:val="0"/>
                <w:sz w:val="20"/>
              </w:rPr>
              <w:t xml:space="preserve"> characterisation (</w:t>
            </w:r>
            <w:r>
              <w:rPr>
                <w:b w:val="0"/>
                <w:sz w:val="20"/>
              </w:rPr>
              <w:t>GHG emissions, F-gases</w:t>
            </w:r>
            <w:r w:rsidRPr="0023007F">
              <w:rPr>
                <w:b w:val="0"/>
                <w:sz w:val="20"/>
              </w:rPr>
              <w:t>) of each industrial process by asset type in each time period and region</w:t>
            </w:r>
          </w:p>
          <w:p w14:paraId="7021BEE1" w14:textId="6A3E6934" w:rsidR="00492C81" w:rsidRPr="0040627C" w:rsidRDefault="00492C81" w:rsidP="00492C81">
            <w:pPr>
              <w:pStyle w:val="ListParagraph"/>
              <w:numPr>
                <w:ilvl w:val="0"/>
                <w:numId w:val="13"/>
              </w:numPr>
              <w:ind w:left="357" w:hanging="357"/>
              <w:rPr>
                <w:b w:val="0"/>
                <w:sz w:val="20"/>
              </w:rPr>
            </w:pPr>
            <w:r w:rsidRPr="0040627C">
              <w:rPr>
                <w:b w:val="0"/>
                <w:sz w:val="20"/>
              </w:rPr>
              <w:t xml:space="preserve">Existing </w:t>
            </w:r>
            <w:r w:rsidR="00745F01" w:rsidRPr="0040627C">
              <w:rPr>
                <w:b w:val="0"/>
                <w:sz w:val="20"/>
              </w:rPr>
              <w:t>industrial facilities</w:t>
            </w:r>
            <w:r w:rsidRPr="0040627C">
              <w:rPr>
                <w:b w:val="0"/>
                <w:sz w:val="20"/>
              </w:rPr>
              <w:t xml:space="preserve"> for the model base year by </w:t>
            </w:r>
            <w:r w:rsidR="00E8067D">
              <w:rPr>
                <w:b w:val="0"/>
                <w:sz w:val="20"/>
              </w:rPr>
              <w:t>asset</w:t>
            </w:r>
            <w:r w:rsidR="00E8067D" w:rsidRPr="0040627C">
              <w:rPr>
                <w:b w:val="0"/>
                <w:sz w:val="20"/>
              </w:rPr>
              <w:t xml:space="preserve"> </w:t>
            </w:r>
            <w:r w:rsidRPr="0040627C">
              <w:rPr>
                <w:b w:val="0"/>
                <w:sz w:val="20"/>
              </w:rPr>
              <w:t>type, including their retirement profile</w:t>
            </w:r>
          </w:p>
          <w:p w14:paraId="7A742EE6" w14:textId="33548803" w:rsidR="00492C81" w:rsidRPr="0040627C" w:rsidRDefault="00492C81" w:rsidP="00492C81">
            <w:pPr>
              <w:pStyle w:val="ListParagraph"/>
              <w:numPr>
                <w:ilvl w:val="0"/>
                <w:numId w:val="13"/>
              </w:numPr>
              <w:ind w:left="357" w:hanging="357"/>
              <w:rPr>
                <w:sz w:val="20"/>
              </w:rPr>
            </w:pPr>
            <w:r w:rsidRPr="0040627C">
              <w:rPr>
                <w:b w:val="0"/>
                <w:sz w:val="20"/>
              </w:rPr>
              <w:t>Policy framework and fiscal regimes</w:t>
            </w:r>
          </w:p>
        </w:tc>
        <w:tc>
          <w:tcPr>
            <w:tcW w:w="4535" w:type="dxa"/>
            <w:tcBorders>
              <w:top w:val="single" w:sz="24" w:space="0" w:color="auto"/>
              <w:bottom w:val="single" w:sz="24" w:space="0" w:color="auto"/>
              <w:right w:val="single" w:sz="24" w:space="0" w:color="auto"/>
            </w:tcBorders>
          </w:tcPr>
          <w:p w14:paraId="7D37F9D0" w14:textId="7280AECF" w:rsidR="00924D6C" w:rsidRPr="0040627C" w:rsidRDefault="00924D6C" w:rsidP="00924D6C">
            <w:pPr>
              <w:cnfStyle w:val="000000100000" w:firstRow="0" w:lastRow="0" w:firstColumn="0" w:lastColumn="0" w:oddVBand="0" w:evenVBand="0" w:oddHBand="1" w:evenHBand="0" w:firstRowFirstColumn="0" w:firstRowLastColumn="0" w:lastRowFirstColumn="0" w:lastRowLastColumn="0"/>
              <w:rPr>
                <w:b/>
                <w:sz w:val="20"/>
              </w:rPr>
            </w:pPr>
            <w:r w:rsidRPr="0040627C">
              <w:rPr>
                <w:b/>
                <w:sz w:val="20"/>
              </w:rPr>
              <w:t>MUSE core dynamic variables</w:t>
            </w:r>
          </w:p>
          <w:p w14:paraId="66473BD8" w14:textId="03BF825B" w:rsidR="00756CD1" w:rsidRPr="0040627C" w:rsidRDefault="003F1439" w:rsidP="00132BB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sz w:val="20"/>
              </w:rPr>
            </w:pPr>
            <w:r w:rsidRPr="0040627C">
              <w:rPr>
                <w:bCs/>
                <w:sz w:val="20"/>
              </w:rPr>
              <w:t xml:space="preserve">Forward </w:t>
            </w:r>
            <w:r w:rsidR="00B676AC" w:rsidRPr="0040627C">
              <w:rPr>
                <w:bCs/>
                <w:sz w:val="20"/>
              </w:rPr>
              <w:t xml:space="preserve">supply curve for all </w:t>
            </w:r>
            <w:r w:rsidR="00745F01" w:rsidRPr="0040627C">
              <w:rPr>
                <w:bCs/>
                <w:sz w:val="20"/>
              </w:rPr>
              <w:t>material commodities</w:t>
            </w:r>
            <w:r w:rsidR="00132BBF" w:rsidRPr="0040627C">
              <w:rPr>
                <w:bCs/>
                <w:sz w:val="20"/>
              </w:rPr>
              <w:t xml:space="preserve"> for each time perio</w:t>
            </w:r>
            <w:r w:rsidR="00F27088" w:rsidRPr="0040627C">
              <w:rPr>
                <w:bCs/>
                <w:sz w:val="20"/>
              </w:rPr>
              <w:t xml:space="preserve">d, region and </w:t>
            </w:r>
            <w:proofErr w:type="spellStart"/>
            <w:r w:rsidR="00F27088" w:rsidRPr="0040627C">
              <w:rPr>
                <w:bCs/>
                <w:sz w:val="20"/>
              </w:rPr>
              <w:t>timeslice</w:t>
            </w:r>
            <w:proofErr w:type="spellEnd"/>
            <w:r w:rsidR="00F27088" w:rsidRPr="0040627C">
              <w:rPr>
                <w:bCs/>
                <w:sz w:val="20"/>
              </w:rPr>
              <w:t xml:space="preserve"> (MUSD</w:t>
            </w:r>
            <w:r w:rsidR="00132BBF" w:rsidRPr="0040627C">
              <w:rPr>
                <w:bCs/>
                <w:sz w:val="20"/>
                <w:vertAlign w:val="subscript"/>
              </w:rPr>
              <w:t>2010</w:t>
            </w:r>
            <w:r w:rsidR="00F27088" w:rsidRPr="0040627C">
              <w:rPr>
                <w:bCs/>
                <w:sz w:val="20"/>
              </w:rPr>
              <w:t>/</w:t>
            </w:r>
            <w:r w:rsidR="00132BBF" w:rsidRPr="0040627C">
              <w:rPr>
                <w:bCs/>
                <w:sz w:val="20"/>
              </w:rPr>
              <w:t>PJ</w:t>
            </w:r>
            <w:r w:rsidR="00F27088" w:rsidRPr="0040627C">
              <w:rPr>
                <w:bCs/>
                <w:sz w:val="20"/>
              </w:rPr>
              <w:t>)</w:t>
            </w:r>
          </w:p>
          <w:p w14:paraId="2C845032" w14:textId="6529CAF8" w:rsidR="00492C81" w:rsidRPr="0040627C" w:rsidRDefault="003F1439" w:rsidP="00492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sz w:val="20"/>
              </w:rPr>
            </w:pPr>
            <w:r w:rsidRPr="0040627C">
              <w:rPr>
                <w:bCs/>
                <w:sz w:val="20"/>
              </w:rPr>
              <w:t>Forward e</w:t>
            </w:r>
            <w:r w:rsidR="00492C81" w:rsidRPr="0040627C">
              <w:rPr>
                <w:bCs/>
                <w:sz w:val="20"/>
              </w:rPr>
              <w:t xml:space="preserve">missions for each time period, region and </w:t>
            </w:r>
            <w:proofErr w:type="spellStart"/>
            <w:r w:rsidR="00492C81" w:rsidRPr="0040627C">
              <w:rPr>
                <w:bCs/>
                <w:sz w:val="20"/>
              </w:rPr>
              <w:t>timeslice</w:t>
            </w:r>
            <w:proofErr w:type="spellEnd"/>
            <w:r w:rsidR="00492C81" w:rsidRPr="0040627C">
              <w:rPr>
                <w:bCs/>
                <w:sz w:val="20"/>
              </w:rPr>
              <w:t xml:space="preserve"> (</w:t>
            </w:r>
            <w:r w:rsidR="00F27088" w:rsidRPr="0040627C">
              <w:rPr>
                <w:bCs/>
                <w:sz w:val="20"/>
              </w:rPr>
              <w:t>GtCO</w:t>
            </w:r>
            <w:r w:rsidR="00492C81" w:rsidRPr="0040627C">
              <w:rPr>
                <w:bCs/>
                <w:sz w:val="20"/>
                <w:vertAlign w:val="subscript"/>
              </w:rPr>
              <w:t>2</w:t>
            </w:r>
            <w:r w:rsidR="00F27088" w:rsidRPr="0040627C">
              <w:rPr>
                <w:bCs/>
                <w:sz w:val="20"/>
              </w:rPr>
              <w:t>/</w:t>
            </w:r>
            <w:r w:rsidR="00492C81" w:rsidRPr="0040627C">
              <w:rPr>
                <w:bCs/>
                <w:sz w:val="20"/>
              </w:rPr>
              <w:t>year)</w:t>
            </w:r>
          </w:p>
          <w:p w14:paraId="2674354F" w14:textId="056788E1" w:rsidR="00492C81" w:rsidRPr="0040627C" w:rsidRDefault="003F1439" w:rsidP="00492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sz w:val="20"/>
              </w:rPr>
            </w:pPr>
            <w:r w:rsidRPr="0040627C">
              <w:rPr>
                <w:bCs/>
                <w:sz w:val="20"/>
              </w:rPr>
              <w:t>Forward</w:t>
            </w:r>
            <w:r w:rsidR="00B676AC" w:rsidRPr="0040627C">
              <w:rPr>
                <w:bCs/>
                <w:sz w:val="20"/>
              </w:rPr>
              <w:t xml:space="preserve"> </w:t>
            </w:r>
            <w:r w:rsidR="00E8067D">
              <w:rPr>
                <w:bCs/>
                <w:sz w:val="20"/>
              </w:rPr>
              <w:t>fuel dem</w:t>
            </w:r>
            <w:r w:rsidR="00B676AC" w:rsidRPr="0040627C">
              <w:rPr>
                <w:bCs/>
                <w:sz w:val="20"/>
              </w:rPr>
              <w:t>and</w:t>
            </w:r>
            <w:r w:rsidRPr="0040627C">
              <w:rPr>
                <w:bCs/>
                <w:sz w:val="20"/>
              </w:rPr>
              <w:t xml:space="preserve"> for each time period, region </w:t>
            </w:r>
            <w:r w:rsidR="00492C81" w:rsidRPr="0040627C">
              <w:rPr>
                <w:bCs/>
                <w:sz w:val="20"/>
              </w:rPr>
              <w:t xml:space="preserve">and </w:t>
            </w:r>
            <w:proofErr w:type="spellStart"/>
            <w:r w:rsidR="00492C81" w:rsidRPr="0040627C">
              <w:rPr>
                <w:bCs/>
                <w:sz w:val="20"/>
              </w:rPr>
              <w:t>timeslice</w:t>
            </w:r>
            <w:proofErr w:type="spellEnd"/>
            <w:r w:rsidR="00492C81" w:rsidRPr="0040627C">
              <w:rPr>
                <w:bCs/>
                <w:sz w:val="20"/>
              </w:rPr>
              <w:t xml:space="preserve"> (PJ</w:t>
            </w:r>
            <w:r w:rsidR="00F27088" w:rsidRPr="0040627C">
              <w:rPr>
                <w:bCs/>
                <w:sz w:val="20"/>
              </w:rPr>
              <w:t>/</w:t>
            </w:r>
            <w:r w:rsidR="00492C81" w:rsidRPr="0040627C">
              <w:rPr>
                <w:bCs/>
                <w:sz w:val="20"/>
              </w:rPr>
              <w:t>year)</w:t>
            </w:r>
          </w:p>
          <w:p w14:paraId="08E4E918" w14:textId="3055326A" w:rsidR="004F043C" w:rsidRPr="0040627C" w:rsidRDefault="000C7225" w:rsidP="00924D6C">
            <w:pPr>
              <w:cnfStyle w:val="000000100000" w:firstRow="0" w:lastRow="0" w:firstColumn="0" w:lastColumn="0" w:oddVBand="0" w:evenVBand="0" w:oddHBand="1" w:evenHBand="0" w:firstRowFirstColumn="0" w:firstRowLastColumn="0" w:lastRowFirstColumn="0" w:lastRowLastColumn="0"/>
              <w:rPr>
                <w:b/>
                <w:sz w:val="20"/>
              </w:rPr>
            </w:pPr>
            <w:r w:rsidRPr="0040627C">
              <w:rPr>
                <w:b/>
                <w:sz w:val="20"/>
              </w:rPr>
              <w:t>I</w:t>
            </w:r>
            <w:r w:rsidR="00756CD1" w:rsidRPr="0040627C">
              <w:rPr>
                <w:b/>
                <w:sz w:val="20"/>
              </w:rPr>
              <w:t>S</w:t>
            </w:r>
            <w:r w:rsidR="00924D6C" w:rsidRPr="0040627C">
              <w:rPr>
                <w:b/>
                <w:sz w:val="20"/>
              </w:rPr>
              <w:t>M-specific outputs</w:t>
            </w:r>
          </w:p>
          <w:p w14:paraId="651FCAB8" w14:textId="6FFAD157" w:rsidR="008307BE" w:rsidRPr="0040627C" w:rsidRDefault="0009610F" w:rsidP="00492C81">
            <w:pPr>
              <w:pStyle w:val="ListParagraph"/>
              <w:numPr>
                <w:ilvl w:val="0"/>
                <w:numId w:val="14"/>
              </w:numPr>
              <w:ind w:left="357" w:hanging="357"/>
              <w:cnfStyle w:val="000000100000" w:firstRow="0" w:lastRow="0" w:firstColumn="0" w:lastColumn="0" w:oddVBand="0" w:evenVBand="0" w:oddHBand="1" w:evenHBand="0" w:firstRowFirstColumn="0" w:firstRowLastColumn="0" w:lastRowFirstColumn="0" w:lastRowLastColumn="0"/>
              <w:rPr>
                <w:sz w:val="20"/>
              </w:rPr>
            </w:pPr>
            <w:r w:rsidRPr="0040627C">
              <w:rPr>
                <w:bCs/>
                <w:sz w:val="20"/>
              </w:rPr>
              <w:t>I</w:t>
            </w:r>
            <w:r w:rsidR="00492C81" w:rsidRPr="0040627C">
              <w:rPr>
                <w:bCs/>
                <w:sz w:val="20"/>
              </w:rPr>
              <w:t xml:space="preserve">nvestment and retirement in capacity terms by time period, </w:t>
            </w:r>
            <w:r w:rsidR="00E8067D">
              <w:rPr>
                <w:bCs/>
                <w:sz w:val="20"/>
              </w:rPr>
              <w:t>asset</w:t>
            </w:r>
            <w:r w:rsidR="00E8067D" w:rsidRPr="0040627C">
              <w:rPr>
                <w:bCs/>
                <w:sz w:val="20"/>
              </w:rPr>
              <w:t xml:space="preserve"> </w:t>
            </w:r>
            <w:r w:rsidR="00492C81" w:rsidRPr="0040627C">
              <w:rPr>
                <w:bCs/>
                <w:sz w:val="20"/>
              </w:rPr>
              <w:t>type and region</w:t>
            </w:r>
          </w:p>
          <w:p w14:paraId="67EF47E2" w14:textId="323543F1" w:rsidR="00492C81" w:rsidRPr="0040627C" w:rsidRDefault="00492C81" w:rsidP="00492C81">
            <w:pPr>
              <w:pStyle w:val="ListParagraph"/>
              <w:numPr>
                <w:ilvl w:val="0"/>
                <w:numId w:val="14"/>
              </w:numPr>
              <w:ind w:left="357" w:hanging="357"/>
              <w:cnfStyle w:val="000000100000" w:firstRow="0" w:lastRow="0" w:firstColumn="0" w:lastColumn="0" w:oddVBand="0" w:evenVBand="0" w:oddHBand="1" w:evenHBand="0" w:firstRowFirstColumn="0" w:firstRowLastColumn="0" w:lastRowFirstColumn="0" w:lastRowLastColumn="0"/>
              <w:rPr>
                <w:sz w:val="20"/>
              </w:rPr>
            </w:pPr>
            <w:r w:rsidRPr="0040627C">
              <w:rPr>
                <w:sz w:val="20"/>
              </w:rPr>
              <w:t xml:space="preserve">Aggregate CAPEX and OPEX by time period, </w:t>
            </w:r>
            <w:proofErr w:type="spellStart"/>
            <w:r w:rsidRPr="0040627C">
              <w:rPr>
                <w:sz w:val="20"/>
              </w:rPr>
              <w:t>timeslice</w:t>
            </w:r>
            <w:proofErr w:type="spellEnd"/>
            <w:r w:rsidRPr="0040627C">
              <w:rPr>
                <w:sz w:val="20"/>
              </w:rPr>
              <w:t xml:space="preserve"> and region</w:t>
            </w:r>
          </w:p>
          <w:p w14:paraId="56381841" w14:textId="043DD9E4" w:rsidR="00492C81" w:rsidRPr="0040627C" w:rsidRDefault="00745F01" w:rsidP="0023007F">
            <w:pPr>
              <w:pStyle w:val="ListParagraph"/>
              <w:numPr>
                <w:ilvl w:val="0"/>
                <w:numId w:val="14"/>
              </w:numPr>
              <w:ind w:left="357" w:hanging="357"/>
              <w:cnfStyle w:val="000000100000" w:firstRow="0" w:lastRow="0" w:firstColumn="0" w:lastColumn="0" w:oddVBand="0" w:evenVBand="0" w:oddHBand="1" w:evenHBand="0" w:firstRowFirstColumn="0" w:firstRowLastColumn="0" w:lastRowFirstColumn="0" w:lastRowLastColumn="0"/>
              <w:rPr>
                <w:sz w:val="20"/>
              </w:rPr>
            </w:pPr>
            <w:r w:rsidRPr="0040627C">
              <w:rPr>
                <w:sz w:val="20"/>
              </w:rPr>
              <w:t>Industrial technologies</w:t>
            </w:r>
            <w:r w:rsidR="00B676AC" w:rsidRPr="0040627C">
              <w:rPr>
                <w:sz w:val="20"/>
              </w:rPr>
              <w:t xml:space="preserve"> op</w:t>
            </w:r>
            <w:r w:rsidR="003509F5" w:rsidRPr="0040627C">
              <w:rPr>
                <w:sz w:val="20"/>
              </w:rPr>
              <w:t>er</w:t>
            </w:r>
            <w:r w:rsidR="00B676AC" w:rsidRPr="0040627C">
              <w:rPr>
                <w:sz w:val="20"/>
              </w:rPr>
              <w:t>ation</w:t>
            </w:r>
            <w:r w:rsidR="00492C81" w:rsidRPr="0040627C">
              <w:rPr>
                <w:sz w:val="20"/>
              </w:rPr>
              <w:t xml:space="preserve"> details (e.g. activity, energy consumption and emissions) by time slice, </w:t>
            </w:r>
            <w:r w:rsidR="00E8067D">
              <w:rPr>
                <w:sz w:val="20"/>
              </w:rPr>
              <w:t>asset</w:t>
            </w:r>
            <w:r w:rsidR="00E8067D" w:rsidRPr="0040627C">
              <w:rPr>
                <w:sz w:val="20"/>
              </w:rPr>
              <w:t xml:space="preserve"> </w:t>
            </w:r>
            <w:r w:rsidR="00492C81" w:rsidRPr="0040627C">
              <w:rPr>
                <w:sz w:val="20"/>
              </w:rPr>
              <w:t>type and region</w:t>
            </w:r>
          </w:p>
        </w:tc>
      </w:tr>
    </w:tbl>
    <w:p w14:paraId="6A423C06" w14:textId="193E4B9C" w:rsidR="008C222E" w:rsidRPr="008E59EF" w:rsidRDefault="00AD18BB" w:rsidP="008E59EF">
      <w:pPr>
        <w:pStyle w:val="Heading1"/>
      </w:pPr>
      <w:r>
        <w:t>References</w:t>
      </w:r>
    </w:p>
    <w:p w14:paraId="4631E014" w14:textId="545F201E" w:rsidR="00492C81" w:rsidRDefault="00E4652A" w:rsidP="00450B3C">
      <w:pPr>
        <w:pStyle w:val="ListParagraph"/>
        <w:numPr>
          <w:ilvl w:val="0"/>
          <w:numId w:val="2"/>
        </w:numPr>
      </w:pPr>
      <w:r>
        <w:t>Key world energy statistics</w:t>
      </w:r>
      <w:r w:rsidR="00063564">
        <w:t xml:space="preserve"> 2016</w:t>
      </w:r>
      <w:r>
        <w:t xml:space="preserve">. </w:t>
      </w:r>
      <w:r w:rsidR="00492C81" w:rsidRPr="00492C81">
        <w:t>International Energy Agency, 2016</w:t>
      </w:r>
      <w:r w:rsidR="00492C81">
        <w:t>.</w:t>
      </w:r>
    </w:p>
    <w:p w14:paraId="5B227AC7" w14:textId="278FD806" w:rsidR="00B552BB" w:rsidRDefault="00063564" w:rsidP="00AC5F53">
      <w:pPr>
        <w:pStyle w:val="ListParagraph"/>
        <w:numPr>
          <w:ilvl w:val="0"/>
          <w:numId w:val="2"/>
        </w:numPr>
      </w:pPr>
      <w:r>
        <w:t>World Energy Outlook 2016.</w:t>
      </w:r>
      <w:r w:rsidR="00B552BB" w:rsidRPr="00492C81">
        <w:t xml:space="preserve"> International Energy Agency, 2016</w:t>
      </w:r>
      <w:r w:rsidR="00B552BB">
        <w:t>.</w:t>
      </w:r>
    </w:p>
    <w:sectPr w:rsidR="00B552BB" w:rsidSect="00B40D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C2A2F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7ED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206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36C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8EBB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0848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CA69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221C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FED0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F87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B403DC"/>
    <w:multiLevelType w:val="hybridMultilevel"/>
    <w:tmpl w:val="D3AA9984"/>
    <w:lvl w:ilvl="0" w:tplc="2A86CC3A">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F250B5"/>
    <w:multiLevelType w:val="hybridMultilevel"/>
    <w:tmpl w:val="0660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54012"/>
    <w:multiLevelType w:val="hybridMultilevel"/>
    <w:tmpl w:val="8D04571A"/>
    <w:lvl w:ilvl="0" w:tplc="C1E2A1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922FA"/>
    <w:multiLevelType w:val="hybridMultilevel"/>
    <w:tmpl w:val="80A82A06"/>
    <w:lvl w:ilvl="0" w:tplc="2A86CC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D1E43"/>
    <w:multiLevelType w:val="hybridMultilevel"/>
    <w:tmpl w:val="427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32C4C"/>
    <w:multiLevelType w:val="hybridMultilevel"/>
    <w:tmpl w:val="31AE28DE"/>
    <w:lvl w:ilvl="0" w:tplc="2A86CC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E"/>
    <w:rsid w:val="00012F07"/>
    <w:rsid w:val="00016D93"/>
    <w:rsid w:val="00061AE9"/>
    <w:rsid w:val="00063564"/>
    <w:rsid w:val="00064BD4"/>
    <w:rsid w:val="00065A4B"/>
    <w:rsid w:val="00080AAA"/>
    <w:rsid w:val="0009610F"/>
    <w:rsid w:val="000C0438"/>
    <w:rsid w:val="000C7225"/>
    <w:rsid w:val="000D28D3"/>
    <w:rsid w:val="000D79BD"/>
    <w:rsid w:val="000E25E5"/>
    <w:rsid w:val="000F2ED1"/>
    <w:rsid w:val="00117AF5"/>
    <w:rsid w:val="00127480"/>
    <w:rsid w:val="00130A57"/>
    <w:rsid w:val="00132BBF"/>
    <w:rsid w:val="00146056"/>
    <w:rsid w:val="00147EAB"/>
    <w:rsid w:val="00161989"/>
    <w:rsid w:val="001A61D5"/>
    <w:rsid w:val="001C40EA"/>
    <w:rsid w:val="001D3A86"/>
    <w:rsid w:val="001F5628"/>
    <w:rsid w:val="0022710A"/>
    <w:rsid w:val="0023007F"/>
    <w:rsid w:val="00242644"/>
    <w:rsid w:val="00243FEB"/>
    <w:rsid w:val="002578B9"/>
    <w:rsid w:val="002668D9"/>
    <w:rsid w:val="00272A55"/>
    <w:rsid w:val="002B0465"/>
    <w:rsid w:val="002B31FA"/>
    <w:rsid w:val="002B47CA"/>
    <w:rsid w:val="002C2808"/>
    <w:rsid w:val="002C380F"/>
    <w:rsid w:val="002D5508"/>
    <w:rsid w:val="002E665D"/>
    <w:rsid w:val="002E71D3"/>
    <w:rsid w:val="00332A62"/>
    <w:rsid w:val="00332CB4"/>
    <w:rsid w:val="00341077"/>
    <w:rsid w:val="003509F5"/>
    <w:rsid w:val="003A5AF5"/>
    <w:rsid w:val="003D13E3"/>
    <w:rsid w:val="003F1439"/>
    <w:rsid w:val="00405DBD"/>
    <w:rsid w:val="0040627C"/>
    <w:rsid w:val="004502A1"/>
    <w:rsid w:val="004602E5"/>
    <w:rsid w:val="00464A2B"/>
    <w:rsid w:val="00492C81"/>
    <w:rsid w:val="004A5023"/>
    <w:rsid w:val="004C212C"/>
    <w:rsid w:val="004D3496"/>
    <w:rsid w:val="004E079F"/>
    <w:rsid w:val="004F043C"/>
    <w:rsid w:val="00532E1A"/>
    <w:rsid w:val="00536100"/>
    <w:rsid w:val="0053686D"/>
    <w:rsid w:val="00542C27"/>
    <w:rsid w:val="00566275"/>
    <w:rsid w:val="00583C21"/>
    <w:rsid w:val="00593577"/>
    <w:rsid w:val="005F0178"/>
    <w:rsid w:val="00655FEC"/>
    <w:rsid w:val="006613F6"/>
    <w:rsid w:val="00664A3B"/>
    <w:rsid w:val="00667166"/>
    <w:rsid w:val="006964BF"/>
    <w:rsid w:val="006D00B0"/>
    <w:rsid w:val="006D294F"/>
    <w:rsid w:val="00710B58"/>
    <w:rsid w:val="00720E6B"/>
    <w:rsid w:val="007307B4"/>
    <w:rsid w:val="00734EA8"/>
    <w:rsid w:val="00743B6B"/>
    <w:rsid w:val="00745F01"/>
    <w:rsid w:val="00756CD1"/>
    <w:rsid w:val="0077597E"/>
    <w:rsid w:val="007A0118"/>
    <w:rsid w:val="007B1347"/>
    <w:rsid w:val="007B1D07"/>
    <w:rsid w:val="007C0A1D"/>
    <w:rsid w:val="007D7D52"/>
    <w:rsid w:val="00816CCA"/>
    <w:rsid w:val="008307BE"/>
    <w:rsid w:val="00832154"/>
    <w:rsid w:val="0083428D"/>
    <w:rsid w:val="00836135"/>
    <w:rsid w:val="00846828"/>
    <w:rsid w:val="00846A53"/>
    <w:rsid w:val="0085474F"/>
    <w:rsid w:val="008608EC"/>
    <w:rsid w:val="00886EC9"/>
    <w:rsid w:val="00892ABF"/>
    <w:rsid w:val="008C222E"/>
    <w:rsid w:val="008E59EF"/>
    <w:rsid w:val="0091312A"/>
    <w:rsid w:val="00924D6C"/>
    <w:rsid w:val="00931904"/>
    <w:rsid w:val="0099033D"/>
    <w:rsid w:val="009A2A90"/>
    <w:rsid w:val="009D4F83"/>
    <w:rsid w:val="00A8265D"/>
    <w:rsid w:val="00A82CE3"/>
    <w:rsid w:val="00A93C13"/>
    <w:rsid w:val="00A94B4D"/>
    <w:rsid w:val="00AA7532"/>
    <w:rsid w:val="00AB696E"/>
    <w:rsid w:val="00AD09E5"/>
    <w:rsid w:val="00AD18BB"/>
    <w:rsid w:val="00AF4A41"/>
    <w:rsid w:val="00AF72EF"/>
    <w:rsid w:val="00B0128D"/>
    <w:rsid w:val="00B15C3E"/>
    <w:rsid w:val="00B271B2"/>
    <w:rsid w:val="00B40D4B"/>
    <w:rsid w:val="00B552BB"/>
    <w:rsid w:val="00B627E4"/>
    <w:rsid w:val="00B676AC"/>
    <w:rsid w:val="00B94CFD"/>
    <w:rsid w:val="00BB3233"/>
    <w:rsid w:val="00C37494"/>
    <w:rsid w:val="00C50450"/>
    <w:rsid w:val="00C808FB"/>
    <w:rsid w:val="00C81CB4"/>
    <w:rsid w:val="00CB3761"/>
    <w:rsid w:val="00CB3911"/>
    <w:rsid w:val="00CB5B77"/>
    <w:rsid w:val="00CB6169"/>
    <w:rsid w:val="00CC5A21"/>
    <w:rsid w:val="00CC6FC1"/>
    <w:rsid w:val="00CD27C0"/>
    <w:rsid w:val="00CD2C72"/>
    <w:rsid w:val="00CE6FBE"/>
    <w:rsid w:val="00CF261B"/>
    <w:rsid w:val="00CF6F5F"/>
    <w:rsid w:val="00D1043F"/>
    <w:rsid w:val="00D15789"/>
    <w:rsid w:val="00D15AC7"/>
    <w:rsid w:val="00D541F8"/>
    <w:rsid w:val="00D611AA"/>
    <w:rsid w:val="00D82292"/>
    <w:rsid w:val="00DA3E0D"/>
    <w:rsid w:val="00DB2A36"/>
    <w:rsid w:val="00DB5B27"/>
    <w:rsid w:val="00DD6AE1"/>
    <w:rsid w:val="00DE1595"/>
    <w:rsid w:val="00E21E2E"/>
    <w:rsid w:val="00E4652A"/>
    <w:rsid w:val="00E8067D"/>
    <w:rsid w:val="00E86F81"/>
    <w:rsid w:val="00EB0D1E"/>
    <w:rsid w:val="00ED6AB3"/>
    <w:rsid w:val="00EF23C9"/>
    <w:rsid w:val="00F06435"/>
    <w:rsid w:val="00F27088"/>
    <w:rsid w:val="00F66A00"/>
    <w:rsid w:val="00F8085A"/>
    <w:rsid w:val="00FA2230"/>
    <w:rsid w:val="00FA7428"/>
    <w:rsid w:val="00FC2259"/>
    <w:rsid w:val="00FD1289"/>
    <w:rsid w:val="00FF5C4E"/>
    <w:rsid w:val="00FF61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D788"/>
  <w15:docId w15:val="{9AD09EC6-C39A-428B-AEC5-7D78D945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ABF"/>
    <w:pPr>
      <w:jc w:val="both"/>
    </w:pPr>
  </w:style>
  <w:style w:type="paragraph" w:styleId="Heading1">
    <w:name w:val="heading 1"/>
    <w:basedOn w:val="Normal"/>
    <w:next w:val="Normal"/>
    <w:link w:val="Heading1Char"/>
    <w:uiPriority w:val="9"/>
    <w:qFormat/>
    <w:rsid w:val="008C22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22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2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222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E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CE6FBE"/>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1">
    <w:name w:val="Grid Table 31"/>
    <w:basedOn w:val="TableNormal"/>
    <w:uiPriority w:val="48"/>
    <w:rsid w:val="00CE6F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1">
    <w:name w:val="Grid Table 21"/>
    <w:basedOn w:val="TableNormal"/>
    <w:uiPriority w:val="47"/>
    <w:rsid w:val="00CE6FB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BB3233"/>
    <w:pPr>
      <w:ind w:left="720"/>
      <w:contextualSpacing/>
    </w:pPr>
  </w:style>
  <w:style w:type="paragraph" w:styleId="BalloonText">
    <w:name w:val="Balloon Text"/>
    <w:basedOn w:val="Normal"/>
    <w:link w:val="BalloonTextChar"/>
    <w:uiPriority w:val="99"/>
    <w:semiHidden/>
    <w:unhideWhenUsed/>
    <w:rsid w:val="001F5628"/>
    <w:rPr>
      <w:rFonts w:ascii="Tahoma" w:hAnsi="Tahoma" w:cs="Tahoma"/>
      <w:sz w:val="16"/>
      <w:szCs w:val="16"/>
    </w:rPr>
  </w:style>
  <w:style w:type="character" w:customStyle="1" w:styleId="BalloonTextChar">
    <w:name w:val="Balloon Text Char"/>
    <w:basedOn w:val="DefaultParagraphFont"/>
    <w:link w:val="BalloonText"/>
    <w:uiPriority w:val="99"/>
    <w:semiHidden/>
    <w:rsid w:val="001F5628"/>
    <w:rPr>
      <w:rFonts w:ascii="Tahoma" w:hAnsi="Tahoma" w:cs="Tahoma"/>
      <w:sz w:val="16"/>
      <w:szCs w:val="16"/>
    </w:rPr>
  </w:style>
  <w:style w:type="paragraph" w:customStyle="1" w:styleId="Caption1">
    <w:name w:val="Caption1"/>
    <w:basedOn w:val="Normal"/>
    <w:qFormat/>
    <w:rsid w:val="00931904"/>
    <w:pPr>
      <w:spacing w:before="10" w:after="10"/>
      <w:ind w:left="720" w:firstLine="720"/>
    </w:pPr>
    <w:rPr>
      <w:sz w:val="20"/>
    </w:rPr>
  </w:style>
  <w:style w:type="paragraph" w:styleId="NormalWeb">
    <w:name w:val="Normal (Web)"/>
    <w:basedOn w:val="Normal"/>
    <w:uiPriority w:val="99"/>
    <w:semiHidden/>
    <w:unhideWhenUsed/>
    <w:rsid w:val="00DD6AE1"/>
    <w:pPr>
      <w:spacing w:before="100" w:beforeAutospacing="1" w:after="100" w:afterAutospacing="1"/>
      <w:jc w:val="left"/>
    </w:pPr>
    <w:rPr>
      <w:rFonts w:ascii="Times New Roman" w:eastAsiaTheme="minorEastAsia" w:hAnsi="Times New Roman" w:cs="Times New Roman"/>
      <w:lang w:eastAsia="en-GB"/>
    </w:rPr>
  </w:style>
  <w:style w:type="character" w:styleId="CommentReference">
    <w:name w:val="annotation reference"/>
    <w:basedOn w:val="DefaultParagraphFont"/>
    <w:uiPriority w:val="99"/>
    <w:semiHidden/>
    <w:unhideWhenUsed/>
    <w:rsid w:val="00F06435"/>
    <w:rPr>
      <w:sz w:val="16"/>
      <w:szCs w:val="16"/>
    </w:rPr>
  </w:style>
  <w:style w:type="paragraph" w:styleId="CommentText">
    <w:name w:val="annotation text"/>
    <w:basedOn w:val="Normal"/>
    <w:link w:val="CommentTextChar"/>
    <w:uiPriority w:val="99"/>
    <w:semiHidden/>
    <w:unhideWhenUsed/>
    <w:rsid w:val="00F06435"/>
    <w:rPr>
      <w:sz w:val="20"/>
      <w:szCs w:val="20"/>
    </w:rPr>
  </w:style>
  <w:style w:type="character" w:customStyle="1" w:styleId="CommentTextChar">
    <w:name w:val="Comment Text Char"/>
    <w:basedOn w:val="DefaultParagraphFont"/>
    <w:link w:val="CommentText"/>
    <w:uiPriority w:val="99"/>
    <w:semiHidden/>
    <w:rsid w:val="00F06435"/>
    <w:rPr>
      <w:sz w:val="20"/>
      <w:szCs w:val="20"/>
    </w:rPr>
  </w:style>
  <w:style w:type="paragraph" w:styleId="CommentSubject">
    <w:name w:val="annotation subject"/>
    <w:basedOn w:val="CommentText"/>
    <w:next w:val="CommentText"/>
    <w:link w:val="CommentSubjectChar"/>
    <w:uiPriority w:val="99"/>
    <w:semiHidden/>
    <w:unhideWhenUsed/>
    <w:rsid w:val="00F06435"/>
    <w:rPr>
      <w:b/>
      <w:bCs/>
    </w:rPr>
  </w:style>
  <w:style w:type="character" w:customStyle="1" w:styleId="CommentSubjectChar">
    <w:name w:val="Comment Subject Char"/>
    <w:basedOn w:val="CommentTextChar"/>
    <w:link w:val="CommentSubject"/>
    <w:uiPriority w:val="99"/>
    <w:semiHidden/>
    <w:rsid w:val="00F06435"/>
    <w:rPr>
      <w:b/>
      <w:bCs/>
      <w:sz w:val="20"/>
      <w:szCs w:val="20"/>
    </w:rPr>
  </w:style>
  <w:style w:type="paragraph" w:styleId="Revision">
    <w:name w:val="Revision"/>
    <w:hidden/>
    <w:uiPriority w:val="99"/>
    <w:semiHidden/>
    <w:rsid w:val="004F0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990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Giarola, Sara</cp:lastModifiedBy>
  <cp:revision>38</cp:revision>
  <cp:lastPrinted>2016-03-31T09:37:00Z</cp:lastPrinted>
  <dcterms:created xsi:type="dcterms:W3CDTF">2016-12-13T11:01:00Z</dcterms:created>
  <dcterms:modified xsi:type="dcterms:W3CDTF">2016-12-16T15:31:00Z</dcterms:modified>
</cp:coreProperties>
</file>