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84C3" w14:textId="42979275" w:rsidR="00151C06" w:rsidRPr="00BC2D0B" w:rsidRDefault="00BC2D0B" w:rsidP="005E2728">
      <w:pPr>
        <w:ind w:left="2160" w:firstLine="720"/>
        <w:rPr>
          <w:b/>
          <w:sz w:val="24"/>
          <w:szCs w:val="24"/>
        </w:rPr>
      </w:pPr>
      <w:r w:rsidRPr="00BC2D0B">
        <w:rPr>
          <w:b/>
          <w:sz w:val="24"/>
          <w:szCs w:val="24"/>
        </w:rPr>
        <w:t xml:space="preserve">ESE </w:t>
      </w:r>
      <w:r w:rsidR="00151C06" w:rsidRPr="00BC2D0B">
        <w:rPr>
          <w:b/>
          <w:sz w:val="24"/>
          <w:szCs w:val="24"/>
        </w:rPr>
        <w:t xml:space="preserve">Athena SWAN committee meeting </w:t>
      </w:r>
    </w:p>
    <w:p w14:paraId="0405143F" w14:textId="3429AA82" w:rsidR="00151C06" w:rsidRPr="003F094A" w:rsidRDefault="005538C7" w:rsidP="00151C06">
      <w:pPr>
        <w:jc w:val="center"/>
        <w:rPr>
          <w:sz w:val="24"/>
          <w:szCs w:val="24"/>
        </w:rPr>
      </w:pPr>
      <w:r>
        <w:rPr>
          <w:sz w:val="24"/>
          <w:szCs w:val="24"/>
        </w:rPr>
        <w:t>1</w:t>
      </w:r>
      <w:r w:rsidR="008F5280">
        <w:rPr>
          <w:sz w:val="24"/>
          <w:szCs w:val="24"/>
        </w:rPr>
        <w:t>2</w:t>
      </w:r>
      <w:r w:rsidR="00B60D86" w:rsidRPr="00B60D86">
        <w:rPr>
          <w:sz w:val="24"/>
          <w:szCs w:val="24"/>
          <w:vertAlign w:val="superscript"/>
        </w:rPr>
        <w:t>th</w:t>
      </w:r>
      <w:r w:rsidR="00B60D86">
        <w:rPr>
          <w:sz w:val="24"/>
          <w:szCs w:val="24"/>
        </w:rPr>
        <w:t xml:space="preserve"> </w:t>
      </w:r>
      <w:r w:rsidR="008F5280">
        <w:rPr>
          <w:sz w:val="24"/>
          <w:szCs w:val="24"/>
        </w:rPr>
        <w:t>November</w:t>
      </w:r>
      <w:r w:rsidR="00151C06" w:rsidRPr="003F094A">
        <w:rPr>
          <w:sz w:val="24"/>
          <w:szCs w:val="24"/>
        </w:rPr>
        <w:t xml:space="preserve"> </w:t>
      </w:r>
      <w:r w:rsidR="003431BF">
        <w:rPr>
          <w:sz w:val="24"/>
          <w:szCs w:val="24"/>
        </w:rPr>
        <w:t>2021</w:t>
      </w:r>
    </w:p>
    <w:p w14:paraId="51E65B79" w14:textId="5A7C560C" w:rsidR="00151C06" w:rsidRPr="003F094A" w:rsidRDefault="00956E84" w:rsidP="00151C06">
      <w:pPr>
        <w:jc w:val="center"/>
        <w:rPr>
          <w:sz w:val="24"/>
          <w:szCs w:val="24"/>
        </w:rPr>
      </w:pPr>
      <w:r>
        <w:rPr>
          <w:sz w:val="24"/>
          <w:szCs w:val="24"/>
        </w:rPr>
        <w:t>13</w:t>
      </w:r>
      <w:r w:rsidR="00A91E2E">
        <w:rPr>
          <w:sz w:val="24"/>
          <w:szCs w:val="24"/>
        </w:rPr>
        <w:t>:</w:t>
      </w:r>
      <w:r>
        <w:rPr>
          <w:sz w:val="24"/>
          <w:szCs w:val="24"/>
        </w:rPr>
        <w:t>0</w:t>
      </w:r>
      <w:r w:rsidR="00A91E2E">
        <w:rPr>
          <w:sz w:val="24"/>
          <w:szCs w:val="24"/>
        </w:rPr>
        <w:t>0-</w:t>
      </w:r>
      <w:r w:rsidR="003431BF">
        <w:rPr>
          <w:sz w:val="24"/>
          <w:szCs w:val="24"/>
        </w:rPr>
        <w:t>1</w:t>
      </w:r>
      <w:r>
        <w:rPr>
          <w:sz w:val="24"/>
          <w:szCs w:val="24"/>
        </w:rPr>
        <w:t>4</w:t>
      </w:r>
      <w:r w:rsidR="005E2728">
        <w:rPr>
          <w:sz w:val="24"/>
          <w:szCs w:val="24"/>
        </w:rPr>
        <w:t>:</w:t>
      </w:r>
      <w:r>
        <w:rPr>
          <w:sz w:val="24"/>
          <w:szCs w:val="24"/>
        </w:rPr>
        <w:t>0</w:t>
      </w:r>
      <w:r w:rsidR="00151C06">
        <w:rPr>
          <w:sz w:val="24"/>
          <w:szCs w:val="24"/>
        </w:rPr>
        <w:t xml:space="preserve">0 </w:t>
      </w:r>
      <w:r w:rsidR="0036771F">
        <w:rPr>
          <w:sz w:val="24"/>
          <w:szCs w:val="24"/>
        </w:rPr>
        <w:t>Hybrid</w:t>
      </w:r>
      <w:r w:rsidR="00AE722B">
        <w:rPr>
          <w:sz w:val="24"/>
          <w:szCs w:val="24"/>
        </w:rPr>
        <w:t xml:space="preserve"> meeting using Microsoft Teams</w:t>
      </w:r>
      <w:r w:rsidR="0036771F">
        <w:rPr>
          <w:sz w:val="24"/>
          <w:szCs w:val="24"/>
        </w:rPr>
        <w:t xml:space="preserve"> or G41</w:t>
      </w:r>
    </w:p>
    <w:p w14:paraId="0D501FB4" w14:textId="08D262FE" w:rsidR="00151C06" w:rsidRDefault="00BC2D0B" w:rsidP="00151C06">
      <w:pPr>
        <w:jc w:val="center"/>
        <w:rPr>
          <w:b/>
          <w:sz w:val="24"/>
          <w:szCs w:val="24"/>
        </w:rPr>
      </w:pPr>
      <w:r>
        <w:rPr>
          <w:b/>
          <w:sz w:val="24"/>
          <w:szCs w:val="24"/>
        </w:rPr>
        <w:t>Minutes</w:t>
      </w:r>
    </w:p>
    <w:p w14:paraId="0A2C57D5" w14:textId="3176A182" w:rsidR="00BC2D0B" w:rsidRDefault="00BC2D0B" w:rsidP="00BC2D0B">
      <w:pPr>
        <w:rPr>
          <w:sz w:val="24"/>
          <w:szCs w:val="24"/>
        </w:rPr>
      </w:pPr>
      <w:r w:rsidRPr="00BC2D0B">
        <w:rPr>
          <w:i/>
          <w:sz w:val="24"/>
          <w:szCs w:val="24"/>
        </w:rPr>
        <w:t>Present</w:t>
      </w:r>
      <w:r w:rsidRPr="00BC2D0B">
        <w:rPr>
          <w:sz w:val="24"/>
          <w:szCs w:val="24"/>
        </w:rPr>
        <w:t xml:space="preserve">: </w:t>
      </w:r>
      <w:r w:rsidR="00E67272">
        <w:rPr>
          <w:sz w:val="24"/>
          <w:szCs w:val="24"/>
        </w:rPr>
        <w:t xml:space="preserve">Gareth Collins (GC), </w:t>
      </w:r>
      <w:r w:rsidR="007B6D86">
        <w:rPr>
          <w:sz w:val="24"/>
          <w:szCs w:val="24"/>
        </w:rPr>
        <w:t xml:space="preserve">Katharina Kreissig (KK), </w:t>
      </w:r>
      <w:r w:rsidR="0036771F">
        <w:rPr>
          <w:sz w:val="24"/>
          <w:szCs w:val="24"/>
        </w:rPr>
        <w:t xml:space="preserve">Jo Morgan (JM), </w:t>
      </w:r>
      <w:r w:rsidR="00E67272" w:rsidRPr="002E4D7B">
        <w:rPr>
          <w:sz w:val="24"/>
          <w:szCs w:val="24"/>
        </w:rPr>
        <w:t>Victoria Murphy</w:t>
      </w:r>
      <w:r w:rsidR="00E67272">
        <w:rPr>
          <w:sz w:val="24"/>
          <w:szCs w:val="24"/>
        </w:rPr>
        <w:t xml:space="preserve"> (VM),</w:t>
      </w:r>
      <w:r w:rsidR="00E67272" w:rsidRPr="002E4D7B">
        <w:rPr>
          <w:sz w:val="24"/>
          <w:szCs w:val="24"/>
        </w:rPr>
        <w:t xml:space="preserve"> </w:t>
      </w:r>
      <w:r w:rsidR="0036771F">
        <w:rPr>
          <w:sz w:val="24"/>
          <w:szCs w:val="24"/>
        </w:rPr>
        <w:t>Bhavna Patel</w:t>
      </w:r>
      <w:r w:rsidR="0036771F" w:rsidRPr="0042769C">
        <w:rPr>
          <w:sz w:val="24"/>
          <w:szCs w:val="24"/>
        </w:rPr>
        <w:t xml:space="preserve"> </w:t>
      </w:r>
      <w:r w:rsidR="0036771F">
        <w:rPr>
          <w:sz w:val="24"/>
          <w:szCs w:val="24"/>
        </w:rPr>
        <w:t xml:space="preserve">(BP), </w:t>
      </w:r>
      <w:r w:rsidR="002E4D7B">
        <w:rPr>
          <w:sz w:val="24"/>
          <w:szCs w:val="24"/>
        </w:rPr>
        <w:t xml:space="preserve">David Pedreros Bastidas (DPB), </w:t>
      </w:r>
      <w:r w:rsidR="0042769C">
        <w:rPr>
          <w:sz w:val="24"/>
          <w:szCs w:val="24"/>
        </w:rPr>
        <w:t>Katie Rycraft (KR),</w:t>
      </w:r>
      <w:r w:rsidR="0042769C" w:rsidRPr="0042769C">
        <w:rPr>
          <w:sz w:val="24"/>
          <w:szCs w:val="24"/>
        </w:rPr>
        <w:t xml:space="preserve"> </w:t>
      </w:r>
      <w:r w:rsidR="0036771F">
        <w:rPr>
          <w:sz w:val="24"/>
          <w:szCs w:val="24"/>
        </w:rPr>
        <w:t xml:space="preserve">Rebecca Smith (RS), </w:t>
      </w:r>
      <w:r w:rsidR="001D2C7F">
        <w:rPr>
          <w:sz w:val="24"/>
          <w:szCs w:val="24"/>
        </w:rPr>
        <w:t>Sophia Qua</w:t>
      </w:r>
      <w:r w:rsidR="003E6861">
        <w:rPr>
          <w:sz w:val="24"/>
          <w:szCs w:val="24"/>
        </w:rPr>
        <w:t>zi (SQ)</w:t>
      </w:r>
      <w:r w:rsidR="0036771F">
        <w:rPr>
          <w:sz w:val="24"/>
          <w:szCs w:val="24"/>
        </w:rPr>
        <w:t>,</w:t>
      </w:r>
      <w:r w:rsidR="0036771F" w:rsidRPr="0036771F">
        <w:rPr>
          <w:sz w:val="24"/>
          <w:szCs w:val="24"/>
        </w:rPr>
        <w:t xml:space="preserve"> </w:t>
      </w:r>
      <w:r w:rsidR="0036771F">
        <w:rPr>
          <w:sz w:val="24"/>
          <w:szCs w:val="24"/>
        </w:rPr>
        <w:t>Laurene Ville (LV),</w:t>
      </w:r>
    </w:p>
    <w:p w14:paraId="49B37699" w14:textId="71A27AC6" w:rsidR="00E67272" w:rsidRDefault="002E4D7B" w:rsidP="00BC2D0B">
      <w:pPr>
        <w:rPr>
          <w:sz w:val="24"/>
          <w:szCs w:val="24"/>
        </w:rPr>
      </w:pPr>
      <w:r w:rsidRPr="002E4D7B">
        <w:rPr>
          <w:i/>
          <w:sz w:val="24"/>
          <w:szCs w:val="24"/>
        </w:rPr>
        <w:t xml:space="preserve">Apologies: </w:t>
      </w:r>
      <w:r w:rsidR="0036771F" w:rsidRPr="002E4D7B">
        <w:rPr>
          <w:sz w:val="24"/>
          <w:szCs w:val="24"/>
        </w:rPr>
        <w:t>Rebecca Bell (</w:t>
      </w:r>
      <w:r w:rsidR="0036771F">
        <w:rPr>
          <w:sz w:val="24"/>
          <w:szCs w:val="24"/>
        </w:rPr>
        <w:t>RB</w:t>
      </w:r>
      <w:r w:rsidR="0036771F" w:rsidRPr="002E4D7B">
        <w:rPr>
          <w:sz w:val="24"/>
          <w:szCs w:val="24"/>
        </w:rPr>
        <w:t xml:space="preserve">), Valentin Laurent </w:t>
      </w:r>
      <w:r w:rsidR="0036771F">
        <w:rPr>
          <w:sz w:val="24"/>
          <w:szCs w:val="24"/>
        </w:rPr>
        <w:t xml:space="preserve">(VL), </w:t>
      </w:r>
      <w:r w:rsidR="0042769C">
        <w:rPr>
          <w:sz w:val="24"/>
          <w:szCs w:val="24"/>
        </w:rPr>
        <w:t>Emma Watson (EW),</w:t>
      </w:r>
      <w:r w:rsidR="0042769C" w:rsidRPr="0042769C">
        <w:rPr>
          <w:sz w:val="24"/>
          <w:szCs w:val="24"/>
        </w:rPr>
        <w:t xml:space="preserve"> </w:t>
      </w:r>
    </w:p>
    <w:p w14:paraId="536B8A1D" w14:textId="7D1825A3" w:rsidR="002E4D7B" w:rsidRPr="002E4D7B" w:rsidRDefault="0036771F" w:rsidP="00BC2D0B">
      <w:pPr>
        <w:rPr>
          <w:b/>
          <w:sz w:val="24"/>
          <w:szCs w:val="24"/>
        </w:rPr>
      </w:pPr>
      <w:r>
        <w:rPr>
          <w:sz w:val="24"/>
          <w:szCs w:val="24"/>
        </w:rPr>
        <w:t xml:space="preserve">Teigan Collins (TC), </w:t>
      </w:r>
      <w:r w:rsidR="0042769C">
        <w:rPr>
          <w:sz w:val="24"/>
          <w:szCs w:val="24"/>
        </w:rPr>
        <w:t xml:space="preserve">Victoria Fernandez (VF), </w:t>
      </w:r>
      <w:r w:rsidR="00E67272">
        <w:rPr>
          <w:sz w:val="24"/>
          <w:szCs w:val="24"/>
        </w:rPr>
        <w:t xml:space="preserve">Alex Lipp (AL), </w:t>
      </w:r>
      <w:r>
        <w:rPr>
          <w:sz w:val="24"/>
          <w:szCs w:val="24"/>
        </w:rPr>
        <w:t>Adriana Paluszny (AP)</w:t>
      </w:r>
    </w:p>
    <w:tbl>
      <w:tblPr>
        <w:tblStyle w:val="TableGrid"/>
        <w:tblW w:w="9016" w:type="dxa"/>
        <w:tblLook w:val="04A0" w:firstRow="1" w:lastRow="0" w:firstColumn="1" w:lastColumn="0" w:noHBand="0" w:noVBand="1"/>
      </w:tblPr>
      <w:tblGrid>
        <w:gridCol w:w="693"/>
        <w:gridCol w:w="7176"/>
        <w:gridCol w:w="1147"/>
      </w:tblGrid>
      <w:tr w:rsidR="002E4D7B" w:rsidRPr="002E4D7B" w14:paraId="3A185990" w14:textId="77777777" w:rsidTr="001A141E">
        <w:tc>
          <w:tcPr>
            <w:tcW w:w="693" w:type="dxa"/>
          </w:tcPr>
          <w:p w14:paraId="7BF1F69F" w14:textId="412F631F" w:rsidR="002E4D7B" w:rsidRPr="002E4D7B" w:rsidRDefault="002E4D7B" w:rsidP="002E4D7B">
            <w:pPr>
              <w:rPr>
                <w:b/>
              </w:rPr>
            </w:pPr>
          </w:p>
        </w:tc>
        <w:tc>
          <w:tcPr>
            <w:tcW w:w="7176" w:type="dxa"/>
          </w:tcPr>
          <w:p w14:paraId="0C8F1E43" w14:textId="655F625F" w:rsidR="002E4D7B" w:rsidRPr="002E4D7B" w:rsidRDefault="001D2C7F" w:rsidP="00E67272">
            <w:pPr>
              <w:rPr>
                <w:b/>
              </w:rPr>
            </w:pPr>
            <w:r>
              <w:rPr>
                <w:b/>
              </w:rPr>
              <w:t>Apologies, Welcome, Introduction</w:t>
            </w:r>
          </w:p>
        </w:tc>
        <w:tc>
          <w:tcPr>
            <w:tcW w:w="1147" w:type="dxa"/>
          </w:tcPr>
          <w:p w14:paraId="6988A46A" w14:textId="77777777" w:rsidR="002E4D7B" w:rsidRPr="002E4D7B" w:rsidRDefault="002E4D7B" w:rsidP="002E4D7B">
            <w:pPr>
              <w:rPr>
                <w:b/>
              </w:rPr>
            </w:pPr>
          </w:p>
        </w:tc>
      </w:tr>
      <w:tr w:rsidR="0042769C" w:rsidRPr="002E4D7B" w14:paraId="6306B6D5" w14:textId="77777777" w:rsidTr="001A141E">
        <w:tc>
          <w:tcPr>
            <w:tcW w:w="693" w:type="dxa"/>
          </w:tcPr>
          <w:p w14:paraId="3D6BE9AA" w14:textId="77777777" w:rsidR="0042769C" w:rsidRPr="002E4D7B" w:rsidRDefault="0042769C" w:rsidP="002E4D7B">
            <w:pPr>
              <w:rPr>
                <w:b/>
              </w:rPr>
            </w:pPr>
          </w:p>
        </w:tc>
        <w:tc>
          <w:tcPr>
            <w:tcW w:w="7176" w:type="dxa"/>
          </w:tcPr>
          <w:p w14:paraId="2685652F" w14:textId="18E736F8" w:rsidR="0042769C" w:rsidRDefault="001D2C7F" w:rsidP="00E67272">
            <w:pPr>
              <w:rPr>
                <w:bCs/>
              </w:rPr>
            </w:pPr>
            <w:r>
              <w:rPr>
                <w:bCs/>
              </w:rPr>
              <w:t xml:space="preserve">Apologies were received from </w:t>
            </w:r>
            <w:r w:rsidR="0036771F">
              <w:rPr>
                <w:bCs/>
              </w:rPr>
              <w:t>RB</w:t>
            </w:r>
            <w:r>
              <w:rPr>
                <w:bCs/>
              </w:rPr>
              <w:t xml:space="preserve">, </w:t>
            </w:r>
            <w:r w:rsidR="0036771F">
              <w:rPr>
                <w:bCs/>
              </w:rPr>
              <w:t>VL</w:t>
            </w:r>
            <w:r>
              <w:rPr>
                <w:bCs/>
              </w:rPr>
              <w:t xml:space="preserve">, </w:t>
            </w:r>
            <w:r w:rsidR="0036771F">
              <w:rPr>
                <w:bCs/>
              </w:rPr>
              <w:t>and</w:t>
            </w:r>
            <w:r>
              <w:rPr>
                <w:bCs/>
              </w:rPr>
              <w:t xml:space="preserve"> EW.</w:t>
            </w:r>
          </w:p>
          <w:p w14:paraId="6FEFEFE7" w14:textId="3AC239C3" w:rsidR="001D2C7F" w:rsidRPr="001D2C7F" w:rsidRDefault="00956E84" w:rsidP="00E67272">
            <w:pPr>
              <w:rPr>
                <w:bCs/>
              </w:rPr>
            </w:pPr>
            <w:r>
              <w:rPr>
                <w:bCs/>
              </w:rPr>
              <w:t>Bhavna</w:t>
            </w:r>
            <w:r w:rsidR="001D2C7F">
              <w:rPr>
                <w:bCs/>
              </w:rPr>
              <w:t xml:space="preserve"> </w:t>
            </w:r>
            <w:r>
              <w:rPr>
                <w:bCs/>
              </w:rPr>
              <w:t>Patel</w:t>
            </w:r>
            <w:r w:rsidR="001D2C7F">
              <w:rPr>
                <w:bCs/>
              </w:rPr>
              <w:t xml:space="preserve"> was welcomed as </w:t>
            </w:r>
            <w:r>
              <w:rPr>
                <w:bCs/>
              </w:rPr>
              <w:t>maternity cover for Sneha from Chemical Engineering</w:t>
            </w:r>
            <w:r w:rsidR="001D2C7F">
              <w:rPr>
                <w:bCs/>
              </w:rPr>
              <w:t>.</w:t>
            </w:r>
          </w:p>
        </w:tc>
        <w:tc>
          <w:tcPr>
            <w:tcW w:w="1147" w:type="dxa"/>
          </w:tcPr>
          <w:p w14:paraId="62D36641" w14:textId="77777777" w:rsidR="0042769C" w:rsidRPr="002E4D7B" w:rsidRDefault="0042769C" w:rsidP="002E4D7B">
            <w:pPr>
              <w:rPr>
                <w:b/>
              </w:rPr>
            </w:pPr>
          </w:p>
        </w:tc>
      </w:tr>
      <w:tr w:rsidR="001D2C7F" w:rsidRPr="002E4D7B" w14:paraId="0BB176C6" w14:textId="77777777" w:rsidTr="001A141E">
        <w:tc>
          <w:tcPr>
            <w:tcW w:w="693" w:type="dxa"/>
          </w:tcPr>
          <w:p w14:paraId="21AE2ADB" w14:textId="77777777" w:rsidR="001D2C7F" w:rsidRPr="002E4D7B" w:rsidRDefault="001D2C7F" w:rsidP="002E4D7B">
            <w:pPr>
              <w:rPr>
                <w:b/>
              </w:rPr>
            </w:pPr>
          </w:p>
        </w:tc>
        <w:tc>
          <w:tcPr>
            <w:tcW w:w="7176" w:type="dxa"/>
          </w:tcPr>
          <w:p w14:paraId="31AEC935" w14:textId="77777777" w:rsidR="001D2C7F" w:rsidRPr="001D2C7F" w:rsidRDefault="001D2C7F" w:rsidP="00E67272">
            <w:pPr>
              <w:rPr>
                <w:bCs/>
              </w:rPr>
            </w:pPr>
          </w:p>
        </w:tc>
        <w:tc>
          <w:tcPr>
            <w:tcW w:w="1147" w:type="dxa"/>
          </w:tcPr>
          <w:p w14:paraId="1969D232" w14:textId="77777777" w:rsidR="001D2C7F" w:rsidRPr="002E4D7B" w:rsidRDefault="001D2C7F" w:rsidP="002E4D7B">
            <w:pPr>
              <w:rPr>
                <w:b/>
              </w:rPr>
            </w:pPr>
          </w:p>
        </w:tc>
      </w:tr>
      <w:tr w:rsidR="001D2C7F" w:rsidRPr="002E4D7B" w14:paraId="023A109C" w14:textId="77777777" w:rsidTr="001A141E">
        <w:tc>
          <w:tcPr>
            <w:tcW w:w="693" w:type="dxa"/>
          </w:tcPr>
          <w:p w14:paraId="1D56D5F2" w14:textId="77777777" w:rsidR="001D2C7F" w:rsidRPr="002E4D7B" w:rsidRDefault="001D2C7F" w:rsidP="00C64953">
            <w:pPr>
              <w:rPr>
                <w:b/>
                <w:sz w:val="28"/>
                <w:szCs w:val="28"/>
              </w:rPr>
            </w:pPr>
          </w:p>
        </w:tc>
        <w:tc>
          <w:tcPr>
            <w:tcW w:w="7176" w:type="dxa"/>
          </w:tcPr>
          <w:p w14:paraId="275A7457" w14:textId="77777777" w:rsidR="001D2C7F" w:rsidRPr="002E4D7B" w:rsidRDefault="001D2C7F" w:rsidP="00C64953">
            <w:pPr>
              <w:rPr>
                <w:b/>
                <w:sz w:val="28"/>
                <w:szCs w:val="28"/>
              </w:rPr>
            </w:pPr>
            <w:r w:rsidRPr="002E4D7B">
              <w:rPr>
                <w:b/>
                <w:sz w:val="28"/>
                <w:szCs w:val="28"/>
              </w:rPr>
              <w:t>Agenda Item</w:t>
            </w:r>
          </w:p>
        </w:tc>
        <w:tc>
          <w:tcPr>
            <w:tcW w:w="1147" w:type="dxa"/>
          </w:tcPr>
          <w:p w14:paraId="542DF5C3" w14:textId="77777777" w:rsidR="001D2C7F" w:rsidRPr="002E4D7B" w:rsidRDefault="001D2C7F" w:rsidP="00C64953">
            <w:pPr>
              <w:rPr>
                <w:b/>
                <w:sz w:val="28"/>
                <w:szCs w:val="28"/>
              </w:rPr>
            </w:pPr>
            <w:r w:rsidRPr="002E4D7B">
              <w:rPr>
                <w:b/>
                <w:sz w:val="28"/>
                <w:szCs w:val="28"/>
              </w:rPr>
              <w:t>Action</w:t>
            </w:r>
          </w:p>
        </w:tc>
      </w:tr>
      <w:tr w:rsidR="0042769C" w:rsidRPr="002E4D7B" w14:paraId="453D2126" w14:textId="77777777" w:rsidTr="001A141E">
        <w:tc>
          <w:tcPr>
            <w:tcW w:w="693" w:type="dxa"/>
          </w:tcPr>
          <w:p w14:paraId="1301B75E" w14:textId="77777777" w:rsidR="0042769C" w:rsidRPr="002E4D7B" w:rsidRDefault="0042769C" w:rsidP="00C64953">
            <w:pPr>
              <w:rPr>
                <w:b/>
              </w:rPr>
            </w:pPr>
            <w:r w:rsidRPr="002E4D7B">
              <w:rPr>
                <w:b/>
              </w:rPr>
              <w:t>1.</w:t>
            </w:r>
          </w:p>
        </w:tc>
        <w:tc>
          <w:tcPr>
            <w:tcW w:w="7176" w:type="dxa"/>
          </w:tcPr>
          <w:p w14:paraId="43E43A95" w14:textId="5CC8D794" w:rsidR="0042769C" w:rsidRPr="002E4D7B" w:rsidRDefault="0042769C" w:rsidP="00C64953">
            <w:pPr>
              <w:rPr>
                <w:b/>
              </w:rPr>
            </w:pPr>
            <w:r w:rsidRPr="002E4D7B">
              <w:rPr>
                <w:b/>
              </w:rPr>
              <w:t>Acceptance o</w:t>
            </w:r>
            <w:r>
              <w:rPr>
                <w:b/>
              </w:rPr>
              <w:t xml:space="preserve">f minutes from the meeting on </w:t>
            </w:r>
            <w:r w:rsidR="00956E84">
              <w:rPr>
                <w:b/>
              </w:rPr>
              <w:t>10</w:t>
            </w:r>
            <w:r w:rsidR="00956E84" w:rsidRPr="00956E84">
              <w:rPr>
                <w:b/>
                <w:vertAlign w:val="superscript"/>
              </w:rPr>
              <w:t>th</w:t>
            </w:r>
            <w:r w:rsidRPr="002E4D7B">
              <w:rPr>
                <w:b/>
              </w:rPr>
              <w:t xml:space="preserve"> </w:t>
            </w:r>
            <w:r w:rsidR="00956E84">
              <w:rPr>
                <w:b/>
              </w:rPr>
              <w:t>September</w:t>
            </w:r>
            <w:r>
              <w:rPr>
                <w:b/>
              </w:rPr>
              <w:t xml:space="preserve"> and matters arising.</w:t>
            </w:r>
          </w:p>
        </w:tc>
        <w:tc>
          <w:tcPr>
            <w:tcW w:w="1147" w:type="dxa"/>
          </w:tcPr>
          <w:p w14:paraId="25A85121" w14:textId="77777777" w:rsidR="0042769C" w:rsidRPr="002E4D7B" w:rsidRDefault="0042769C" w:rsidP="00C64953">
            <w:pPr>
              <w:rPr>
                <w:b/>
              </w:rPr>
            </w:pPr>
          </w:p>
        </w:tc>
      </w:tr>
      <w:tr w:rsidR="002E4D7B" w14:paraId="794F252D" w14:textId="77777777" w:rsidTr="001A141E">
        <w:tc>
          <w:tcPr>
            <w:tcW w:w="693" w:type="dxa"/>
          </w:tcPr>
          <w:p w14:paraId="156930BF" w14:textId="77777777" w:rsidR="002E4D7B" w:rsidRDefault="002E4D7B" w:rsidP="002E4D7B"/>
        </w:tc>
        <w:tc>
          <w:tcPr>
            <w:tcW w:w="7176" w:type="dxa"/>
          </w:tcPr>
          <w:p w14:paraId="7F7FD90A" w14:textId="3D8F78AE" w:rsidR="002E4D7B" w:rsidRDefault="002E4D7B" w:rsidP="00E67272">
            <w:r>
              <w:t>The following matter were arising:</w:t>
            </w:r>
          </w:p>
        </w:tc>
        <w:tc>
          <w:tcPr>
            <w:tcW w:w="1147" w:type="dxa"/>
          </w:tcPr>
          <w:p w14:paraId="66B643AD" w14:textId="77777777" w:rsidR="002E4D7B" w:rsidRDefault="002E4D7B" w:rsidP="002E4D7B"/>
        </w:tc>
      </w:tr>
      <w:tr w:rsidR="00E67272" w:rsidRPr="00256968" w14:paraId="5D471C75" w14:textId="77777777" w:rsidTr="001A141E">
        <w:tc>
          <w:tcPr>
            <w:tcW w:w="693" w:type="dxa"/>
          </w:tcPr>
          <w:p w14:paraId="7DF0409D" w14:textId="2C43278F" w:rsidR="00E67272" w:rsidRPr="00E67272" w:rsidRDefault="00956E84" w:rsidP="002E4D7B">
            <w:r>
              <w:t>5</w:t>
            </w:r>
            <w:r w:rsidR="00E67272">
              <w:t>.</w:t>
            </w:r>
          </w:p>
        </w:tc>
        <w:tc>
          <w:tcPr>
            <w:tcW w:w="7176" w:type="dxa"/>
          </w:tcPr>
          <w:p w14:paraId="04EBD255" w14:textId="1CA6D845" w:rsidR="00E67272" w:rsidRPr="00E67272" w:rsidRDefault="00956E84" w:rsidP="002E4D7B">
            <w:r>
              <w:t>SQ offered to find out from other Departments how Athena Swan SATs and EDI-committees are run when talking to the College’s EDIC centre.</w:t>
            </w:r>
          </w:p>
        </w:tc>
        <w:tc>
          <w:tcPr>
            <w:tcW w:w="1147" w:type="dxa"/>
          </w:tcPr>
          <w:p w14:paraId="65F0ADC4" w14:textId="7D706301" w:rsidR="00E67272" w:rsidRPr="00380E26" w:rsidRDefault="00E67272" w:rsidP="002E4D7B"/>
        </w:tc>
      </w:tr>
      <w:tr w:rsidR="005538C7" w:rsidRPr="00256968" w14:paraId="0E1E8767" w14:textId="77777777" w:rsidTr="001A141E">
        <w:tc>
          <w:tcPr>
            <w:tcW w:w="693" w:type="dxa"/>
          </w:tcPr>
          <w:p w14:paraId="07D6D71A" w14:textId="6F565C64" w:rsidR="005538C7" w:rsidRDefault="00956E84" w:rsidP="002E4D7B">
            <w:r>
              <w:t>6</w:t>
            </w:r>
            <w:r w:rsidR="005538C7">
              <w:t>.</w:t>
            </w:r>
          </w:p>
        </w:tc>
        <w:tc>
          <w:tcPr>
            <w:tcW w:w="7176" w:type="dxa"/>
          </w:tcPr>
          <w:p w14:paraId="5806A60F" w14:textId="0B89D5B6" w:rsidR="005538C7" w:rsidRDefault="00956E84" w:rsidP="002E4D7B">
            <w:r>
              <w:t xml:space="preserve">KK hasn’t yet found the time to investigate KPI’s from our actions but suggested to use the future meetings for this </w:t>
            </w:r>
            <w:r w:rsidR="008E30DE">
              <w:t xml:space="preserve">academic </w:t>
            </w:r>
            <w:r>
              <w:t>year to talk about the newest numbers</w:t>
            </w:r>
            <w:r w:rsidR="008E30DE">
              <w:t>,</w:t>
            </w:r>
            <w:r>
              <w:t xml:space="preserve"> </w:t>
            </w:r>
            <w:proofErr w:type="gramStart"/>
            <w:r>
              <w:t>problems</w:t>
            </w:r>
            <w:proofErr w:type="gramEnd"/>
            <w:r>
              <w:t xml:space="preserve"> and actions of the respective groups, starting with UG/PGT in January, followed by PhDs and PRDAs in March, staff in May and Culture in July.</w:t>
            </w:r>
          </w:p>
        </w:tc>
        <w:tc>
          <w:tcPr>
            <w:tcW w:w="1147" w:type="dxa"/>
          </w:tcPr>
          <w:p w14:paraId="121D6E56" w14:textId="576C6D46" w:rsidR="005538C7" w:rsidRDefault="005538C7" w:rsidP="002E4D7B"/>
        </w:tc>
      </w:tr>
      <w:tr w:rsidR="002E4D7B" w:rsidRPr="00256968" w14:paraId="6097703C" w14:textId="77777777" w:rsidTr="001A141E">
        <w:tc>
          <w:tcPr>
            <w:tcW w:w="693" w:type="dxa"/>
          </w:tcPr>
          <w:p w14:paraId="58E5F71C" w14:textId="5443FBE1" w:rsidR="002E4D7B" w:rsidRPr="00256968" w:rsidRDefault="00256968" w:rsidP="002E4D7B">
            <w:pPr>
              <w:rPr>
                <w:b/>
              </w:rPr>
            </w:pPr>
            <w:r w:rsidRPr="00256968">
              <w:rPr>
                <w:b/>
              </w:rPr>
              <w:t>2.</w:t>
            </w:r>
          </w:p>
        </w:tc>
        <w:tc>
          <w:tcPr>
            <w:tcW w:w="7176" w:type="dxa"/>
          </w:tcPr>
          <w:p w14:paraId="0945D567" w14:textId="7D43C0C3" w:rsidR="002E4D7B" w:rsidRPr="00256968" w:rsidRDefault="00380E26" w:rsidP="002E4D7B">
            <w:pPr>
              <w:rPr>
                <w:b/>
              </w:rPr>
            </w:pPr>
            <w:r w:rsidRPr="00256968">
              <w:rPr>
                <w:b/>
              </w:rPr>
              <w:t>Chair’s report</w:t>
            </w:r>
          </w:p>
        </w:tc>
        <w:tc>
          <w:tcPr>
            <w:tcW w:w="1147" w:type="dxa"/>
          </w:tcPr>
          <w:p w14:paraId="571876EE" w14:textId="77777777" w:rsidR="002E4D7B" w:rsidRPr="00256968" w:rsidRDefault="002E4D7B" w:rsidP="002E4D7B">
            <w:pPr>
              <w:rPr>
                <w:b/>
              </w:rPr>
            </w:pPr>
          </w:p>
        </w:tc>
      </w:tr>
      <w:tr w:rsidR="00256968" w14:paraId="655245CC" w14:textId="77777777" w:rsidTr="001A141E">
        <w:tc>
          <w:tcPr>
            <w:tcW w:w="693" w:type="dxa"/>
          </w:tcPr>
          <w:p w14:paraId="5E0DF6C4" w14:textId="5E4C1742" w:rsidR="00256968" w:rsidRDefault="008E30DE" w:rsidP="002E4D7B">
            <w:r>
              <w:t>2.1.</w:t>
            </w:r>
          </w:p>
        </w:tc>
        <w:tc>
          <w:tcPr>
            <w:tcW w:w="7176" w:type="dxa"/>
          </w:tcPr>
          <w:p w14:paraId="58C0A32E" w14:textId="25D2EBD6" w:rsidR="007964E1" w:rsidRDefault="008E30DE" w:rsidP="00256968">
            <w:r>
              <w:t>KK sent notes from the College Athena Swan meeting from 1</w:t>
            </w:r>
            <w:r w:rsidRPr="008E30DE">
              <w:rPr>
                <w:vertAlign w:val="superscript"/>
              </w:rPr>
              <w:t>st</w:t>
            </w:r>
            <w:r>
              <w:t xml:space="preserve"> November together with updates from the individual departments in advance to the meeting as PAPER 2+3. There were no questions.</w:t>
            </w:r>
          </w:p>
        </w:tc>
        <w:tc>
          <w:tcPr>
            <w:tcW w:w="1147" w:type="dxa"/>
          </w:tcPr>
          <w:p w14:paraId="7140FDB7" w14:textId="77777777" w:rsidR="00256968" w:rsidRDefault="00256968" w:rsidP="002E4D7B"/>
        </w:tc>
      </w:tr>
      <w:tr w:rsidR="008E30DE" w14:paraId="36E24816" w14:textId="77777777" w:rsidTr="001A141E">
        <w:tc>
          <w:tcPr>
            <w:tcW w:w="693" w:type="dxa"/>
          </w:tcPr>
          <w:p w14:paraId="2BF5F812" w14:textId="5F4BAFF7" w:rsidR="008E30DE" w:rsidRDefault="008E30DE" w:rsidP="002E4D7B">
            <w:r>
              <w:t>2.2.</w:t>
            </w:r>
          </w:p>
        </w:tc>
        <w:tc>
          <w:tcPr>
            <w:tcW w:w="7176" w:type="dxa"/>
          </w:tcPr>
          <w:p w14:paraId="5F771B44" w14:textId="4A49F93B" w:rsidR="00FD139A" w:rsidRDefault="008E30DE" w:rsidP="007711A8">
            <w:pPr>
              <w:autoSpaceDE w:val="0"/>
              <w:autoSpaceDN w:val="0"/>
              <w:adjustRightInd w:val="0"/>
              <w:rPr>
                <w:rFonts w:cs="MetaPro-Norm"/>
                <w:color w:val="000000"/>
                <w:lang w:val="en-US"/>
              </w:rPr>
            </w:pPr>
            <w:r>
              <w:t>SQ summarised that the history group published their report quite unexpectedly on the 26</w:t>
            </w:r>
            <w:r w:rsidRPr="008E30DE">
              <w:rPr>
                <w:vertAlign w:val="superscript"/>
              </w:rPr>
              <w:t>th</w:t>
            </w:r>
            <w:r>
              <w:t xml:space="preserve"> October. </w:t>
            </w:r>
            <w:r w:rsidR="007711A8">
              <w:t>(</w:t>
            </w:r>
            <w:r>
              <w:t xml:space="preserve">JM and SQ had a meeting with Anne Barrett </w:t>
            </w:r>
            <w:r w:rsidRPr="0028138D">
              <w:t>the week before</w:t>
            </w:r>
            <w:r>
              <w:t xml:space="preserve"> and at that point i</w:t>
            </w:r>
            <w:r w:rsidR="007711A8">
              <w:t>t</w:t>
            </w:r>
            <w:r>
              <w:t xml:space="preserve"> wasn’t clear when it was going to be </w:t>
            </w:r>
            <w:r w:rsidR="007711A8">
              <w:t>available</w:t>
            </w:r>
            <w:r>
              <w:t>.</w:t>
            </w:r>
            <w:r w:rsidR="007711A8">
              <w:t>)</w:t>
            </w:r>
            <w:r>
              <w:t xml:space="preserve"> Henry De La </w:t>
            </w:r>
            <w:proofErr w:type="spellStart"/>
            <w:r>
              <w:t>Beche</w:t>
            </w:r>
            <w:r w:rsidR="00B64A42">
              <w:t>’</w:t>
            </w:r>
            <w:r>
              <w:t>s</w:t>
            </w:r>
            <w:proofErr w:type="spellEnd"/>
            <w:r>
              <w:t xml:space="preserve"> </w:t>
            </w:r>
            <w:r w:rsidR="007711A8">
              <w:t>views on slavery were described as “</w:t>
            </w:r>
            <w:r w:rsidR="007711A8" w:rsidRPr="007711A8">
              <w:rPr>
                <w:rFonts w:cs="MetaPro-Norm"/>
                <w:i/>
                <w:iCs/>
                <w:color w:val="000000"/>
                <w:sz w:val="20"/>
                <w:szCs w:val="20"/>
                <w:lang w:val="en-US"/>
              </w:rPr>
              <w:t>He held enlightened views as to slavery on the family plantations, abolished whipping and prepared the slaves for eventual freedom, which he knew would come.”</w:t>
            </w:r>
            <w:r w:rsidR="007711A8">
              <w:rPr>
                <w:rFonts w:cs="MetaPro-Norm"/>
                <w:color w:val="000000"/>
                <w:sz w:val="20"/>
                <w:szCs w:val="20"/>
                <w:lang w:val="en-US"/>
              </w:rPr>
              <w:t xml:space="preserve"> </w:t>
            </w:r>
            <w:r w:rsidR="007711A8" w:rsidRPr="007711A8">
              <w:rPr>
                <w:rFonts w:cs="MetaPro-Norm"/>
                <w:color w:val="000000"/>
                <w:lang w:val="en-US"/>
              </w:rPr>
              <w:t>As he was against the abolition of slavery and his pamphlet: Notes on the Present Condition of Negroes in Jamaica, written in 1825</w:t>
            </w:r>
            <w:r w:rsidR="00FD139A">
              <w:rPr>
                <w:rFonts w:cs="MetaPro-Norm"/>
                <w:color w:val="000000"/>
                <w:lang w:val="en-US"/>
              </w:rPr>
              <w:t xml:space="preserve"> </w:t>
            </w:r>
            <w:r w:rsidR="00FD139A" w:rsidRPr="00FD139A">
              <w:rPr>
                <w:rFonts w:cs="MetaPro-Norm"/>
                <w:color w:val="000000"/>
                <w:sz w:val="16"/>
                <w:szCs w:val="16"/>
                <w:lang w:val="en-US"/>
              </w:rPr>
              <w:t>(</w:t>
            </w:r>
            <w:hyperlink r:id="rId7" w:anchor="v=onepage&amp;q&amp;f=false" w:history="1">
              <w:r w:rsidR="00FD139A" w:rsidRPr="00FD139A">
                <w:rPr>
                  <w:rStyle w:val="Hyperlink"/>
                  <w:rFonts w:eastAsia="Times New Roman"/>
                  <w:sz w:val="16"/>
                  <w:szCs w:val="16"/>
                </w:rPr>
                <w:t>https://books.google.co.uk/books?id=-Y4hmVTbd_oC&amp;printsec=frontcover&amp;source=gbs_ge_summary_r&amp;cad=0#v=onepage&amp;q&amp;f=false</w:t>
              </w:r>
            </w:hyperlink>
            <w:r w:rsidR="00FD139A" w:rsidRPr="00FD139A">
              <w:rPr>
                <w:rFonts w:eastAsia="Times New Roman"/>
                <w:sz w:val="16"/>
                <w:szCs w:val="16"/>
                <w:u w:val="single"/>
              </w:rPr>
              <w:t>)</w:t>
            </w:r>
            <w:r w:rsidR="007711A8" w:rsidRPr="00FD139A">
              <w:rPr>
                <w:rFonts w:cs="MetaPro-Norm"/>
                <w:color w:val="000000"/>
                <w:sz w:val="16"/>
                <w:szCs w:val="16"/>
                <w:lang w:val="en-US"/>
              </w:rPr>
              <w:t>,</w:t>
            </w:r>
            <w:r w:rsidR="007711A8" w:rsidRPr="007711A8">
              <w:rPr>
                <w:rFonts w:cs="MetaPro-Norm"/>
                <w:color w:val="000000"/>
                <w:lang w:val="en-US"/>
              </w:rPr>
              <w:t xml:space="preserve"> is a disturbing read </w:t>
            </w:r>
            <w:r w:rsidR="007711A8">
              <w:rPr>
                <w:rFonts w:cs="MetaPro-Norm"/>
                <w:color w:val="000000"/>
                <w:lang w:val="en-US"/>
              </w:rPr>
              <w:t xml:space="preserve">a meeting was held with our </w:t>
            </w:r>
            <w:proofErr w:type="spellStart"/>
            <w:r w:rsidR="007711A8">
              <w:rPr>
                <w:rFonts w:cs="MetaPro-Norm"/>
                <w:color w:val="000000"/>
                <w:lang w:val="en-US"/>
              </w:rPr>
              <w:t>HoD</w:t>
            </w:r>
            <w:proofErr w:type="spellEnd"/>
            <w:r w:rsidR="007711A8">
              <w:rPr>
                <w:rFonts w:cs="MetaPro-Norm"/>
                <w:color w:val="000000"/>
                <w:lang w:val="en-US"/>
              </w:rPr>
              <w:t xml:space="preserve">, RB, JM, SQ, KK. </w:t>
            </w:r>
            <w:r w:rsidR="00FD139A">
              <w:rPr>
                <w:rFonts w:cs="MetaPro-Norm"/>
                <w:color w:val="000000"/>
                <w:lang w:val="en-US"/>
              </w:rPr>
              <w:t>Consequently</w:t>
            </w:r>
            <w:r w:rsidR="007711A8">
              <w:rPr>
                <w:rFonts w:cs="MetaPro-Norm"/>
                <w:color w:val="000000"/>
                <w:lang w:val="en-US"/>
              </w:rPr>
              <w:t xml:space="preserve">, Tina van de </w:t>
            </w:r>
            <w:proofErr w:type="spellStart"/>
            <w:r w:rsidR="007711A8">
              <w:rPr>
                <w:rFonts w:cs="MetaPro-Norm"/>
                <w:color w:val="000000"/>
                <w:lang w:val="en-US"/>
              </w:rPr>
              <w:t>Flierdt</w:t>
            </w:r>
            <w:proofErr w:type="spellEnd"/>
            <w:r w:rsidR="007711A8">
              <w:rPr>
                <w:rFonts w:cs="MetaPro-Norm"/>
                <w:color w:val="000000"/>
                <w:lang w:val="en-US"/>
              </w:rPr>
              <w:t xml:space="preserve"> and JM wrote an email to </w:t>
            </w:r>
            <w:proofErr w:type="spellStart"/>
            <w:r w:rsidR="007711A8">
              <w:rPr>
                <w:rFonts w:cs="MetaPro-Norm"/>
                <w:color w:val="000000"/>
                <w:lang w:val="en-US"/>
              </w:rPr>
              <w:t>Nilay</w:t>
            </w:r>
            <w:proofErr w:type="spellEnd"/>
            <w:r w:rsidR="007711A8">
              <w:rPr>
                <w:rFonts w:cs="MetaPro-Norm"/>
                <w:color w:val="000000"/>
                <w:lang w:val="en-US"/>
              </w:rPr>
              <w:t xml:space="preserve"> Shah (chair of the history group) conveying our views and</w:t>
            </w:r>
            <w:r w:rsidR="008F1F3C">
              <w:rPr>
                <w:rFonts w:cs="MetaPro-Norm"/>
                <w:color w:val="000000"/>
                <w:lang w:val="en-US"/>
              </w:rPr>
              <w:t xml:space="preserve"> one explanatory</w:t>
            </w:r>
            <w:r w:rsidR="007711A8">
              <w:rPr>
                <w:rFonts w:cs="MetaPro-Norm"/>
                <w:color w:val="000000"/>
                <w:lang w:val="en-US"/>
              </w:rPr>
              <w:t xml:space="preserve"> </w:t>
            </w:r>
            <w:r w:rsidR="0028138D">
              <w:rPr>
                <w:rFonts w:cs="MetaPro-Norm"/>
                <w:color w:val="000000"/>
                <w:lang w:val="en-US"/>
              </w:rPr>
              <w:t xml:space="preserve">email </w:t>
            </w:r>
            <w:r w:rsidR="007711A8">
              <w:rPr>
                <w:rFonts w:cs="MetaPro-Norm"/>
                <w:color w:val="000000"/>
                <w:lang w:val="en-US"/>
              </w:rPr>
              <w:t xml:space="preserve">to the Department. The sentence has been removed from the report and no further actions relating to Henry De La </w:t>
            </w:r>
            <w:proofErr w:type="spellStart"/>
            <w:r w:rsidR="007711A8">
              <w:rPr>
                <w:rFonts w:cs="MetaPro-Norm"/>
                <w:color w:val="000000"/>
                <w:lang w:val="en-US"/>
              </w:rPr>
              <w:t>Bec</w:t>
            </w:r>
            <w:r w:rsidR="00FD139A">
              <w:rPr>
                <w:rFonts w:cs="MetaPro-Norm"/>
                <w:color w:val="000000"/>
                <w:lang w:val="en-US"/>
              </w:rPr>
              <w:t>he</w:t>
            </w:r>
            <w:proofErr w:type="spellEnd"/>
            <w:r w:rsidR="00FD139A">
              <w:rPr>
                <w:rFonts w:cs="MetaPro-Norm"/>
                <w:color w:val="000000"/>
                <w:lang w:val="en-US"/>
              </w:rPr>
              <w:t xml:space="preserve"> are deemed necessary. </w:t>
            </w:r>
          </w:p>
          <w:p w14:paraId="163A8A4E" w14:textId="4EA1854A" w:rsidR="008E30DE" w:rsidRPr="00FD139A" w:rsidRDefault="00FD139A" w:rsidP="00FD139A">
            <w:pPr>
              <w:autoSpaceDE w:val="0"/>
              <w:autoSpaceDN w:val="0"/>
              <w:adjustRightInd w:val="0"/>
              <w:rPr>
                <w:color w:val="000000"/>
              </w:rPr>
            </w:pPr>
            <w:r>
              <w:rPr>
                <w:rFonts w:cs="MetaPro-Norm"/>
                <w:color w:val="000000"/>
                <w:lang w:val="en-US"/>
              </w:rPr>
              <w:lastRenderedPageBreak/>
              <w:t xml:space="preserve">Regarding the statues of </w:t>
            </w:r>
            <w:proofErr w:type="spellStart"/>
            <w:r>
              <w:rPr>
                <w:rFonts w:cs="MetaPro-Norm"/>
                <w:color w:val="000000"/>
                <w:lang w:val="en-US"/>
              </w:rPr>
              <w:t>Wernher</w:t>
            </w:r>
            <w:proofErr w:type="spellEnd"/>
            <w:r>
              <w:rPr>
                <w:rFonts w:cs="MetaPro-Norm"/>
                <w:color w:val="000000"/>
                <w:lang w:val="en-US"/>
              </w:rPr>
              <w:t xml:space="preserve"> and Beit at the RSM entrance, actions are needed, and the history group is inviting comments and views via email to </w:t>
            </w:r>
            <w:hyperlink r:id="rId8" w:history="1">
              <w:r w:rsidRPr="00146236">
                <w:rPr>
                  <w:rStyle w:val="Hyperlink"/>
                  <w:rFonts w:cs="MetaPro-Norm"/>
                  <w:lang w:val="en-US"/>
                </w:rPr>
                <w:t>history.dialogue@imperial.ac.uk</w:t>
              </w:r>
            </w:hyperlink>
            <w:r>
              <w:rPr>
                <w:rFonts w:cs="MetaPro-Norm"/>
                <w:color w:val="000000"/>
                <w:lang w:val="en-US"/>
              </w:rPr>
              <w:t>. There will also be departmental meetings, and everyone can register interest via SQ.</w:t>
            </w:r>
          </w:p>
        </w:tc>
        <w:tc>
          <w:tcPr>
            <w:tcW w:w="1147" w:type="dxa"/>
          </w:tcPr>
          <w:p w14:paraId="5ED89BEA" w14:textId="77777777" w:rsidR="008E30DE" w:rsidRDefault="008E30DE" w:rsidP="002E4D7B"/>
        </w:tc>
      </w:tr>
      <w:tr w:rsidR="00114FEB" w14:paraId="38A9C8E1" w14:textId="77777777" w:rsidTr="001A141E">
        <w:tc>
          <w:tcPr>
            <w:tcW w:w="693" w:type="dxa"/>
          </w:tcPr>
          <w:p w14:paraId="7648E106" w14:textId="4078DCB5" w:rsidR="00114FEB" w:rsidRDefault="00114FEB" w:rsidP="002E4D7B">
            <w:r>
              <w:t>2.3.</w:t>
            </w:r>
          </w:p>
        </w:tc>
        <w:tc>
          <w:tcPr>
            <w:tcW w:w="7176" w:type="dxa"/>
          </w:tcPr>
          <w:p w14:paraId="64EDA1E2" w14:textId="6D9C2EAF" w:rsidR="00114FEB" w:rsidRDefault="00114FEB" w:rsidP="007711A8">
            <w:pPr>
              <w:autoSpaceDE w:val="0"/>
              <w:autoSpaceDN w:val="0"/>
              <w:adjustRightInd w:val="0"/>
            </w:pPr>
            <w:r>
              <w:t>KK updated on the Athena Swan townhall meeting on the 5</w:t>
            </w:r>
            <w:r w:rsidRPr="00114FEB">
              <w:rPr>
                <w:vertAlign w:val="superscript"/>
              </w:rPr>
              <w:t>th</w:t>
            </w:r>
            <w:r>
              <w:t xml:space="preserve"> November lead by Stephen Curry which 70 people attended. The College is preparing for a silver renewal. Ann Muggeridge </w:t>
            </w:r>
            <w:r w:rsidR="008F1F3C">
              <w:t>(</w:t>
            </w:r>
            <w:r>
              <w:t>ESE</w:t>
            </w:r>
            <w:r w:rsidR="008F1F3C">
              <w:t>) is</w:t>
            </w:r>
            <w:r>
              <w:t xml:space="preserve"> on the working group. The slides from the event are uploaded on our Teams channel and show college wide data. There were many points of discussion ranging from childcare costs, pay gaps between Job families, underrepresentation of men in Athena Swan discussions, need for extension of Elsie Widdowson scholarship for PRDA’s or research only staff who do teaching. </w:t>
            </w:r>
          </w:p>
        </w:tc>
        <w:tc>
          <w:tcPr>
            <w:tcW w:w="1147" w:type="dxa"/>
          </w:tcPr>
          <w:p w14:paraId="0B683AF0" w14:textId="77777777" w:rsidR="00114FEB" w:rsidRDefault="00114FEB" w:rsidP="002E4D7B"/>
        </w:tc>
      </w:tr>
      <w:tr w:rsidR="00114FEB" w14:paraId="628D208B" w14:textId="77777777" w:rsidTr="001A141E">
        <w:tc>
          <w:tcPr>
            <w:tcW w:w="693" w:type="dxa"/>
          </w:tcPr>
          <w:p w14:paraId="110977ED" w14:textId="4C0AB4F5" w:rsidR="00114FEB" w:rsidRDefault="00114FEB" w:rsidP="002E4D7B">
            <w:r>
              <w:t>2.4.</w:t>
            </w:r>
          </w:p>
        </w:tc>
        <w:tc>
          <w:tcPr>
            <w:tcW w:w="7176" w:type="dxa"/>
          </w:tcPr>
          <w:p w14:paraId="334A7892" w14:textId="5F590CFF" w:rsidR="00114FEB" w:rsidRDefault="00114FEB" w:rsidP="007711A8">
            <w:pPr>
              <w:autoSpaceDE w:val="0"/>
              <w:autoSpaceDN w:val="0"/>
              <w:adjustRightInd w:val="0"/>
            </w:pPr>
            <w:r>
              <w:t>JM and GC reported on the Departmental forum on the 11</w:t>
            </w:r>
            <w:r w:rsidRPr="00114FEB">
              <w:rPr>
                <w:vertAlign w:val="superscript"/>
              </w:rPr>
              <w:t>th</w:t>
            </w:r>
            <w:r>
              <w:t xml:space="preserve"> November. George </w:t>
            </w:r>
            <w:proofErr w:type="spellStart"/>
            <w:r>
              <w:t>Constantinides</w:t>
            </w:r>
            <w:proofErr w:type="spellEnd"/>
            <w:r w:rsidR="008F1F3C">
              <w:t xml:space="preserve"> (EEE)</w:t>
            </w:r>
            <w:r>
              <w:t xml:space="preserve"> was </w:t>
            </w:r>
            <w:r w:rsidR="00756DCD">
              <w:t xml:space="preserve">invited to talk about his findings regarding academic workload within the </w:t>
            </w:r>
            <w:proofErr w:type="spellStart"/>
            <w:r w:rsidR="00756DCD">
              <w:t>FoE</w:t>
            </w:r>
            <w:proofErr w:type="spellEnd"/>
            <w:r w:rsidR="00756DCD">
              <w:t>. Nigel Brandon created the post of Associated Dean for Academic workload in January 2021. Wellbeing surveys indicated that academic staff work too many hours and still haven’t got “quality time to think deeply”. Commute and time fragmentation as well as ineffective college administration and sabbatical leave were raised. RB commented that some outreach activities should be considered when developing a workload model (WM). Several pilot studies are running with Aero developing a new WM, CEE is working on sabbatical leave</w:t>
            </w:r>
            <w:r w:rsidR="00CF7C22">
              <w:t xml:space="preserve"> policy</w:t>
            </w:r>
            <w:r w:rsidR="00756DCD">
              <w:t xml:space="preserve"> and several departments including ESE are investigating a way to change the PRDP process. </w:t>
            </w:r>
          </w:p>
        </w:tc>
        <w:tc>
          <w:tcPr>
            <w:tcW w:w="1147" w:type="dxa"/>
          </w:tcPr>
          <w:p w14:paraId="4B0038BA" w14:textId="77777777" w:rsidR="00114FEB" w:rsidRDefault="00114FEB" w:rsidP="002E4D7B"/>
        </w:tc>
      </w:tr>
      <w:tr w:rsidR="00065762" w14:paraId="407C4059" w14:textId="77777777" w:rsidTr="001A141E">
        <w:tc>
          <w:tcPr>
            <w:tcW w:w="693" w:type="dxa"/>
          </w:tcPr>
          <w:p w14:paraId="5CED3D56" w14:textId="6B2D284B" w:rsidR="00065762" w:rsidRDefault="00065762" w:rsidP="002E4D7B">
            <w:r>
              <w:t>2.5.</w:t>
            </w:r>
          </w:p>
        </w:tc>
        <w:tc>
          <w:tcPr>
            <w:tcW w:w="7176" w:type="dxa"/>
          </w:tcPr>
          <w:p w14:paraId="14570315" w14:textId="6D5AB273" w:rsidR="00065762" w:rsidRDefault="00065762" w:rsidP="007711A8">
            <w:pPr>
              <w:autoSpaceDE w:val="0"/>
              <w:autoSpaceDN w:val="0"/>
              <w:adjustRightInd w:val="0"/>
            </w:pPr>
            <w:r>
              <w:t>There will be a Faculty EDI meeting on the 17</w:t>
            </w:r>
            <w:r w:rsidRPr="00065762">
              <w:rPr>
                <w:vertAlign w:val="superscript"/>
              </w:rPr>
              <w:t>th</w:t>
            </w:r>
            <w:r>
              <w:t xml:space="preserve"> November.</w:t>
            </w:r>
          </w:p>
        </w:tc>
        <w:tc>
          <w:tcPr>
            <w:tcW w:w="1147" w:type="dxa"/>
          </w:tcPr>
          <w:p w14:paraId="691E0A41" w14:textId="77777777" w:rsidR="00065762" w:rsidRDefault="00065762" w:rsidP="002E4D7B"/>
        </w:tc>
      </w:tr>
      <w:tr w:rsidR="00065762" w14:paraId="5AD1F4E7" w14:textId="77777777" w:rsidTr="001A141E">
        <w:tc>
          <w:tcPr>
            <w:tcW w:w="693" w:type="dxa"/>
          </w:tcPr>
          <w:p w14:paraId="3FE5BF20" w14:textId="1A82F406" w:rsidR="00065762" w:rsidRDefault="00065762" w:rsidP="002E4D7B">
            <w:r>
              <w:t>2.6.</w:t>
            </w:r>
          </w:p>
        </w:tc>
        <w:tc>
          <w:tcPr>
            <w:tcW w:w="7176" w:type="dxa"/>
          </w:tcPr>
          <w:p w14:paraId="6BE21520" w14:textId="4ACEB915" w:rsidR="00065762" w:rsidRDefault="007C3E45" w:rsidP="007711A8">
            <w:pPr>
              <w:autoSpaceDE w:val="0"/>
              <w:autoSpaceDN w:val="0"/>
              <w:adjustRightInd w:val="0"/>
            </w:pPr>
            <w:r>
              <w:t xml:space="preserve">RB gave talks about our Athena Swan application to MSc Students and PTO staff (02/11/2021) whilst KK </w:t>
            </w:r>
            <w:r w:rsidR="00F668F7">
              <w:t>gave</w:t>
            </w:r>
            <w:r>
              <w:t xml:space="preserve"> it to postdocs and fellows (04/11/2021). Lowest female staff numbers are in that cohort and have been decreasing for 10 years. SQ will investigate the trend. Ideas from the audience were to check whether the # of applications from females also decreased (KK </w:t>
            </w:r>
            <w:r w:rsidR="00F668F7">
              <w:t>looked at</w:t>
            </w:r>
            <w:r>
              <w:t xml:space="preserve"> the data since 2018: 18% applications from women, 6 hired for 40 positions)</w:t>
            </w:r>
            <w:r w:rsidR="00F668F7">
              <w:t xml:space="preserve"> and</w:t>
            </w:r>
            <w:r>
              <w:t xml:space="preserve"> </w:t>
            </w:r>
            <w:r w:rsidR="00F668F7">
              <w:t xml:space="preserve">to </w:t>
            </w:r>
            <w:r>
              <w:t>check whether contract durations decreased. There was a general feeling that the entire research council funding system needs changing.</w:t>
            </w:r>
          </w:p>
        </w:tc>
        <w:tc>
          <w:tcPr>
            <w:tcW w:w="1147" w:type="dxa"/>
          </w:tcPr>
          <w:p w14:paraId="25F12287" w14:textId="77777777" w:rsidR="00065762" w:rsidRDefault="00072035" w:rsidP="002E4D7B">
            <w:r>
              <w:t>SQ</w:t>
            </w:r>
          </w:p>
          <w:p w14:paraId="5B51590B" w14:textId="2A59789D" w:rsidR="00DC388E" w:rsidRDefault="00DC388E" w:rsidP="002E4D7B">
            <w:r>
              <w:t>In progress</w:t>
            </w:r>
          </w:p>
        </w:tc>
      </w:tr>
      <w:tr w:rsidR="001F41BD" w14:paraId="0D0DC028" w14:textId="77777777" w:rsidTr="001A141E">
        <w:tc>
          <w:tcPr>
            <w:tcW w:w="693" w:type="dxa"/>
          </w:tcPr>
          <w:p w14:paraId="16CE1307" w14:textId="7D3A9CF9" w:rsidR="001F41BD" w:rsidRDefault="001F41BD" w:rsidP="001F41BD">
            <w:r>
              <w:rPr>
                <w:b/>
              </w:rPr>
              <w:t>3</w:t>
            </w:r>
            <w:r w:rsidRPr="00CE109E">
              <w:rPr>
                <w:b/>
              </w:rPr>
              <w:t>.</w:t>
            </w:r>
          </w:p>
        </w:tc>
        <w:tc>
          <w:tcPr>
            <w:tcW w:w="7176" w:type="dxa"/>
          </w:tcPr>
          <w:p w14:paraId="7ABCBAA6" w14:textId="12625B65" w:rsidR="001F41BD" w:rsidRDefault="001F41BD" w:rsidP="001F41BD">
            <w:pPr>
              <w:autoSpaceDE w:val="0"/>
              <w:autoSpaceDN w:val="0"/>
              <w:adjustRightInd w:val="0"/>
            </w:pPr>
            <w:r w:rsidRPr="00CE109E">
              <w:rPr>
                <w:b/>
              </w:rPr>
              <w:t xml:space="preserve">Update from </w:t>
            </w:r>
            <w:r w:rsidR="00952412">
              <w:rPr>
                <w:b/>
              </w:rPr>
              <w:t>EDIC committee</w:t>
            </w:r>
            <w:r w:rsidRPr="00CE109E">
              <w:rPr>
                <w:b/>
              </w:rPr>
              <w:t xml:space="preserve"> </w:t>
            </w:r>
            <w:r w:rsidR="00952412">
              <w:rPr>
                <w:b/>
              </w:rPr>
              <w:t>ESE</w:t>
            </w:r>
          </w:p>
        </w:tc>
        <w:tc>
          <w:tcPr>
            <w:tcW w:w="1147" w:type="dxa"/>
          </w:tcPr>
          <w:p w14:paraId="35515A9B" w14:textId="77777777" w:rsidR="001F41BD" w:rsidRDefault="001F41BD" w:rsidP="001F41BD"/>
        </w:tc>
      </w:tr>
      <w:tr w:rsidR="001F41BD" w14:paraId="48C83C45" w14:textId="77777777" w:rsidTr="001A141E">
        <w:tc>
          <w:tcPr>
            <w:tcW w:w="693" w:type="dxa"/>
          </w:tcPr>
          <w:p w14:paraId="468DF944" w14:textId="77777777" w:rsidR="001F41BD" w:rsidRDefault="001F41BD" w:rsidP="001F41BD"/>
        </w:tc>
        <w:tc>
          <w:tcPr>
            <w:tcW w:w="7176" w:type="dxa"/>
          </w:tcPr>
          <w:p w14:paraId="4FA07307" w14:textId="0A0C84A6" w:rsidR="001F41BD" w:rsidRDefault="00952412" w:rsidP="001F41BD">
            <w:pPr>
              <w:autoSpaceDE w:val="0"/>
              <w:autoSpaceDN w:val="0"/>
              <w:adjustRightInd w:val="0"/>
            </w:pPr>
            <w:r>
              <w:t xml:space="preserve">JM and SQ had about 40 interested members with about 50:50 split between staff and students. </w:t>
            </w:r>
            <w:r w:rsidR="008F1F3C">
              <w:t>Athena SAT will be part of the EDIC. First meeting Wednesday 8</w:t>
            </w:r>
            <w:r w:rsidR="008F1F3C" w:rsidRPr="008F1F3C">
              <w:rPr>
                <w:vertAlign w:val="superscript"/>
              </w:rPr>
              <w:t>th</w:t>
            </w:r>
            <w:r w:rsidR="008F1F3C">
              <w:t xml:space="preserve"> December 2021 hybrid room 147. Pablo raised that central services registry translates degrees (in many cases lowers the grades) from other countries without specific knowledge of that degree system resulting in students applying can’t compete with home students. RS mentioned that one can change it for a specific case, but the blanket process is not transparent. </w:t>
            </w:r>
          </w:p>
        </w:tc>
        <w:tc>
          <w:tcPr>
            <w:tcW w:w="1147" w:type="dxa"/>
          </w:tcPr>
          <w:p w14:paraId="5969BEC4" w14:textId="77777777" w:rsidR="001F41BD" w:rsidRDefault="001F41BD" w:rsidP="001F41BD"/>
        </w:tc>
      </w:tr>
      <w:tr w:rsidR="001F41BD" w:rsidRPr="00CE109E" w14:paraId="57A5BEF3" w14:textId="77777777" w:rsidTr="001A141E">
        <w:tc>
          <w:tcPr>
            <w:tcW w:w="693" w:type="dxa"/>
          </w:tcPr>
          <w:p w14:paraId="11F3515F" w14:textId="4CAB73AA" w:rsidR="001F41BD" w:rsidRPr="00CE109E" w:rsidRDefault="008F1F3C" w:rsidP="001F41BD">
            <w:pPr>
              <w:rPr>
                <w:b/>
              </w:rPr>
            </w:pPr>
            <w:r>
              <w:rPr>
                <w:b/>
              </w:rPr>
              <w:t>4</w:t>
            </w:r>
            <w:r w:rsidR="001F41BD" w:rsidRPr="00CE109E">
              <w:rPr>
                <w:b/>
              </w:rPr>
              <w:t>.</w:t>
            </w:r>
          </w:p>
        </w:tc>
        <w:tc>
          <w:tcPr>
            <w:tcW w:w="7176" w:type="dxa"/>
          </w:tcPr>
          <w:p w14:paraId="3E855319" w14:textId="77777777" w:rsidR="001F41BD" w:rsidRPr="00CE109E" w:rsidRDefault="001F41BD" w:rsidP="001F41BD">
            <w:pPr>
              <w:rPr>
                <w:b/>
              </w:rPr>
            </w:pPr>
            <w:r w:rsidRPr="00CE109E">
              <w:rPr>
                <w:b/>
              </w:rPr>
              <w:t xml:space="preserve">Update from </w:t>
            </w:r>
            <w:r>
              <w:rPr>
                <w:b/>
              </w:rPr>
              <w:t>Bhavna</w:t>
            </w:r>
            <w:r w:rsidRPr="00CE109E">
              <w:rPr>
                <w:b/>
              </w:rPr>
              <w:t xml:space="preserve"> on the Chemical Engineering EDCC</w:t>
            </w:r>
          </w:p>
        </w:tc>
        <w:tc>
          <w:tcPr>
            <w:tcW w:w="1147" w:type="dxa"/>
          </w:tcPr>
          <w:p w14:paraId="1BD1B8A8" w14:textId="77777777" w:rsidR="001F41BD" w:rsidRPr="00CE109E" w:rsidRDefault="001F41BD" w:rsidP="001F41BD">
            <w:pPr>
              <w:rPr>
                <w:b/>
              </w:rPr>
            </w:pPr>
          </w:p>
        </w:tc>
      </w:tr>
      <w:tr w:rsidR="001F41BD" w14:paraId="17249891" w14:textId="77777777" w:rsidTr="001A141E">
        <w:tc>
          <w:tcPr>
            <w:tcW w:w="693" w:type="dxa"/>
          </w:tcPr>
          <w:p w14:paraId="0C9B59C8" w14:textId="77777777" w:rsidR="001F41BD" w:rsidRDefault="001F41BD" w:rsidP="001F41BD"/>
        </w:tc>
        <w:tc>
          <w:tcPr>
            <w:tcW w:w="7176" w:type="dxa"/>
          </w:tcPr>
          <w:p w14:paraId="3ECFF78B" w14:textId="3BFCFD12" w:rsidR="001F41BD" w:rsidRDefault="008F1F3C" w:rsidP="001F41BD">
            <w:r>
              <w:rPr>
                <w:lang w:val="en-US"/>
              </w:rPr>
              <w:t xml:space="preserve">BP reported that Chemical Engineering has extended their next application deadline to July 2023 due to COVID reasons. Otherwise, is has been quiet. </w:t>
            </w:r>
          </w:p>
        </w:tc>
        <w:tc>
          <w:tcPr>
            <w:tcW w:w="1147" w:type="dxa"/>
          </w:tcPr>
          <w:p w14:paraId="4B585794" w14:textId="73856EB5" w:rsidR="001F41BD" w:rsidRDefault="001F41BD" w:rsidP="001F41BD"/>
        </w:tc>
      </w:tr>
      <w:tr w:rsidR="00F668F7" w:rsidRPr="00CE109E" w14:paraId="631A7AE9" w14:textId="77777777" w:rsidTr="00257E45">
        <w:tc>
          <w:tcPr>
            <w:tcW w:w="693" w:type="dxa"/>
          </w:tcPr>
          <w:p w14:paraId="211423CB" w14:textId="76DD7667" w:rsidR="00F668F7" w:rsidRPr="00CE109E" w:rsidRDefault="00F668F7" w:rsidP="00257E45">
            <w:pPr>
              <w:rPr>
                <w:b/>
              </w:rPr>
            </w:pPr>
            <w:r>
              <w:rPr>
                <w:b/>
              </w:rPr>
              <w:t>5</w:t>
            </w:r>
            <w:r w:rsidRPr="00CE109E">
              <w:rPr>
                <w:b/>
              </w:rPr>
              <w:t>.</w:t>
            </w:r>
          </w:p>
        </w:tc>
        <w:tc>
          <w:tcPr>
            <w:tcW w:w="7176" w:type="dxa"/>
          </w:tcPr>
          <w:p w14:paraId="1CADF9AA" w14:textId="6905B043" w:rsidR="00F668F7" w:rsidRPr="00CE109E" w:rsidRDefault="00F668F7" w:rsidP="00257E45">
            <w:pPr>
              <w:rPr>
                <w:b/>
              </w:rPr>
            </w:pPr>
            <w:r w:rsidRPr="00CE109E">
              <w:rPr>
                <w:b/>
              </w:rPr>
              <w:t xml:space="preserve">Update from </w:t>
            </w:r>
            <w:r>
              <w:rPr>
                <w:b/>
              </w:rPr>
              <w:t>Rebecca</w:t>
            </w:r>
            <w:r w:rsidRPr="00CE109E">
              <w:rPr>
                <w:b/>
              </w:rPr>
              <w:t xml:space="preserve"> on the </w:t>
            </w:r>
            <w:r>
              <w:rPr>
                <w:b/>
              </w:rPr>
              <w:t>Civil Engineering EDIC</w:t>
            </w:r>
          </w:p>
        </w:tc>
        <w:tc>
          <w:tcPr>
            <w:tcW w:w="1147" w:type="dxa"/>
          </w:tcPr>
          <w:p w14:paraId="594FBD35" w14:textId="77777777" w:rsidR="00F668F7" w:rsidRPr="00CE109E" w:rsidRDefault="00F668F7" w:rsidP="00257E45">
            <w:pPr>
              <w:rPr>
                <w:b/>
              </w:rPr>
            </w:pPr>
          </w:p>
        </w:tc>
      </w:tr>
      <w:tr w:rsidR="00F668F7" w14:paraId="57CF4CF2" w14:textId="77777777" w:rsidTr="00257E45">
        <w:tc>
          <w:tcPr>
            <w:tcW w:w="693" w:type="dxa"/>
          </w:tcPr>
          <w:p w14:paraId="09EA22A0" w14:textId="77777777" w:rsidR="00F668F7" w:rsidRDefault="00F668F7" w:rsidP="00257E45"/>
        </w:tc>
        <w:tc>
          <w:tcPr>
            <w:tcW w:w="7176" w:type="dxa"/>
          </w:tcPr>
          <w:p w14:paraId="763F0FC4" w14:textId="2E61C4FC" w:rsidR="00F668F7" w:rsidRDefault="00F668F7" w:rsidP="00257E45">
            <w:r>
              <w:rPr>
                <w:lang w:val="en-US"/>
              </w:rPr>
              <w:t>Meeting on the 26</w:t>
            </w:r>
            <w:r w:rsidRPr="00F668F7">
              <w:rPr>
                <w:vertAlign w:val="superscript"/>
                <w:lang w:val="en-US"/>
              </w:rPr>
              <w:t>th</w:t>
            </w:r>
            <w:r>
              <w:rPr>
                <w:lang w:val="en-US"/>
              </w:rPr>
              <w:t xml:space="preserve"> November. Post of wellbeing adviser has been changed to full time and will have EDI aspects included into the role. Work has been done to raise representation of LBGT</w:t>
            </w:r>
            <w:r w:rsidR="006E6926">
              <w:rPr>
                <w:lang w:val="en-US"/>
              </w:rPr>
              <w:t>Q</w:t>
            </w:r>
            <w:r w:rsidRPr="00F668F7">
              <w:rPr>
                <w:vertAlign w:val="superscript"/>
                <w:lang w:val="en-US"/>
              </w:rPr>
              <w:t>+</w:t>
            </w:r>
            <w:r>
              <w:rPr>
                <w:lang w:val="en-US"/>
              </w:rPr>
              <w:t xml:space="preserve"> and black students on the Alumni pages.</w:t>
            </w:r>
          </w:p>
        </w:tc>
        <w:tc>
          <w:tcPr>
            <w:tcW w:w="1147" w:type="dxa"/>
          </w:tcPr>
          <w:p w14:paraId="6C4CC285" w14:textId="77777777" w:rsidR="00F668F7" w:rsidRDefault="00F668F7" w:rsidP="00257E45"/>
        </w:tc>
      </w:tr>
      <w:tr w:rsidR="001F41BD" w:rsidRPr="00CE109E" w14:paraId="2E8BF56B" w14:textId="77777777" w:rsidTr="001A141E">
        <w:tc>
          <w:tcPr>
            <w:tcW w:w="693" w:type="dxa"/>
          </w:tcPr>
          <w:p w14:paraId="3FFB26F6" w14:textId="0BE88D5D" w:rsidR="001F41BD" w:rsidRPr="00CE109E" w:rsidRDefault="00F668F7" w:rsidP="001F41BD">
            <w:pPr>
              <w:rPr>
                <w:b/>
              </w:rPr>
            </w:pPr>
            <w:r>
              <w:rPr>
                <w:b/>
              </w:rPr>
              <w:t>6</w:t>
            </w:r>
            <w:r w:rsidR="001F41BD" w:rsidRPr="00CE109E">
              <w:rPr>
                <w:b/>
              </w:rPr>
              <w:t>.</w:t>
            </w:r>
          </w:p>
        </w:tc>
        <w:tc>
          <w:tcPr>
            <w:tcW w:w="7176" w:type="dxa"/>
          </w:tcPr>
          <w:p w14:paraId="21127420" w14:textId="77777777" w:rsidR="001F41BD" w:rsidRPr="00CE109E" w:rsidRDefault="001F41BD" w:rsidP="001F41BD">
            <w:pPr>
              <w:rPr>
                <w:b/>
              </w:rPr>
            </w:pPr>
            <w:r>
              <w:rPr>
                <w:b/>
              </w:rPr>
              <w:t>Updates on the Art Group</w:t>
            </w:r>
          </w:p>
        </w:tc>
        <w:tc>
          <w:tcPr>
            <w:tcW w:w="1147" w:type="dxa"/>
          </w:tcPr>
          <w:p w14:paraId="5BFDB169" w14:textId="77777777" w:rsidR="001F41BD" w:rsidRPr="00CE109E" w:rsidRDefault="001F41BD" w:rsidP="001F41BD">
            <w:pPr>
              <w:rPr>
                <w:b/>
              </w:rPr>
            </w:pPr>
          </w:p>
        </w:tc>
      </w:tr>
      <w:tr w:rsidR="001F41BD" w14:paraId="44EAF735" w14:textId="77777777" w:rsidTr="001A141E">
        <w:tc>
          <w:tcPr>
            <w:tcW w:w="693" w:type="dxa"/>
          </w:tcPr>
          <w:p w14:paraId="4A52CF67" w14:textId="77777777" w:rsidR="001F41BD" w:rsidRDefault="001F41BD" w:rsidP="001F41BD"/>
        </w:tc>
        <w:tc>
          <w:tcPr>
            <w:tcW w:w="7176" w:type="dxa"/>
          </w:tcPr>
          <w:p w14:paraId="65EB91D6" w14:textId="734617A5" w:rsidR="001F41BD" w:rsidRDefault="00F668F7" w:rsidP="001F41BD">
            <w:r>
              <w:rPr>
                <w:rStyle w:val="normaltextrun"/>
              </w:rPr>
              <w:t>No news on the</w:t>
            </w:r>
            <w:r w:rsidR="001F41BD">
              <w:t xml:space="preserve"> </w:t>
            </w:r>
            <w:r>
              <w:t xml:space="preserve">submitted </w:t>
            </w:r>
            <w:r w:rsidR="001F41BD">
              <w:t xml:space="preserve">proposal to </w:t>
            </w:r>
            <w:proofErr w:type="spellStart"/>
            <w:r w:rsidR="001F41BD">
              <w:t>FoE</w:t>
            </w:r>
            <w:proofErr w:type="spellEnd"/>
            <w:r w:rsidR="001F41BD">
              <w:t xml:space="preserve"> </w:t>
            </w:r>
            <w:r>
              <w:t xml:space="preserve">to </w:t>
            </w:r>
            <w:r w:rsidR="001F41BD">
              <w:t xml:space="preserve">spend the money on artwork superhero cards (The </w:t>
            </w:r>
            <w:proofErr w:type="spellStart"/>
            <w:r w:rsidR="001F41BD">
              <w:t>Remarkablz</w:t>
            </w:r>
            <w:proofErr w:type="spellEnd"/>
            <w:r w:rsidR="001F41BD">
              <w:t xml:space="preserve"> - </w:t>
            </w:r>
            <w:hyperlink r:id="rId9" w:history="1">
              <w:r w:rsidR="001F41BD" w:rsidRPr="00B55A81">
                <w:rPr>
                  <w:rStyle w:val="Hyperlink"/>
                  <w:sz w:val="20"/>
                  <w:szCs w:val="20"/>
                </w:rPr>
                <w:t>https://www.theremarkablz.com/page2740949.html</w:t>
              </w:r>
            </w:hyperlink>
            <w:r w:rsidR="001F41BD" w:rsidRPr="00B55A81">
              <w:rPr>
                <w:sz w:val="20"/>
                <w:szCs w:val="20"/>
              </w:rPr>
              <w:t>)</w:t>
            </w:r>
            <w:r w:rsidR="001F41BD">
              <w:t xml:space="preserve"> and commissioning a bust from the Royal Society of Sculptors.</w:t>
            </w:r>
          </w:p>
        </w:tc>
        <w:tc>
          <w:tcPr>
            <w:tcW w:w="1147" w:type="dxa"/>
          </w:tcPr>
          <w:p w14:paraId="19469C68" w14:textId="5DA106BD" w:rsidR="001F41BD" w:rsidRDefault="00F668F7" w:rsidP="001F41BD">
            <w:r>
              <w:t>Ask EW</w:t>
            </w:r>
          </w:p>
        </w:tc>
      </w:tr>
      <w:tr w:rsidR="001F41BD" w14:paraId="18CE9EB6" w14:textId="77777777" w:rsidTr="001A141E">
        <w:tc>
          <w:tcPr>
            <w:tcW w:w="693" w:type="dxa"/>
          </w:tcPr>
          <w:p w14:paraId="04563CA4" w14:textId="74A0F05C" w:rsidR="001F41BD" w:rsidRDefault="00F668F7" w:rsidP="001F41BD">
            <w:r>
              <w:rPr>
                <w:b/>
              </w:rPr>
              <w:t>7</w:t>
            </w:r>
            <w:r w:rsidR="001F41BD" w:rsidRPr="00CE109E">
              <w:rPr>
                <w:b/>
              </w:rPr>
              <w:t>.</w:t>
            </w:r>
          </w:p>
        </w:tc>
        <w:tc>
          <w:tcPr>
            <w:tcW w:w="7176" w:type="dxa"/>
          </w:tcPr>
          <w:p w14:paraId="7B610C4F" w14:textId="2F32AD0B" w:rsidR="001F41BD" w:rsidRDefault="00F668F7" w:rsidP="001F41BD">
            <w:r>
              <w:rPr>
                <w:b/>
              </w:rPr>
              <w:t>Feedback from the SAT regarding the culture survey</w:t>
            </w:r>
          </w:p>
        </w:tc>
        <w:tc>
          <w:tcPr>
            <w:tcW w:w="1147" w:type="dxa"/>
          </w:tcPr>
          <w:p w14:paraId="55221D65" w14:textId="77777777" w:rsidR="001F41BD" w:rsidRDefault="001F41BD" w:rsidP="001F41BD"/>
        </w:tc>
      </w:tr>
      <w:tr w:rsidR="001F41BD" w14:paraId="6598B5AE" w14:textId="77777777" w:rsidTr="001A141E">
        <w:tc>
          <w:tcPr>
            <w:tcW w:w="693" w:type="dxa"/>
          </w:tcPr>
          <w:p w14:paraId="56818AB0" w14:textId="77777777" w:rsidR="001F41BD" w:rsidRDefault="001F41BD" w:rsidP="001F41BD"/>
        </w:tc>
        <w:tc>
          <w:tcPr>
            <w:tcW w:w="7176" w:type="dxa"/>
          </w:tcPr>
          <w:p w14:paraId="42B25748" w14:textId="10F232AB" w:rsidR="001F41BD" w:rsidRPr="000767A0" w:rsidRDefault="000331E7" w:rsidP="001F41BD">
            <w:pPr>
              <w:rPr>
                <w:rStyle w:val="normaltextrun"/>
                <w:rFonts w:cs="Calibri"/>
                <w:color w:val="000000"/>
                <w:shd w:val="clear" w:color="auto" w:fill="FFFFFF"/>
              </w:rPr>
            </w:pPr>
            <w:r>
              <w:rPr>
                <w:rStyle w:val="normaltextrun"/>
                <w:rFonts w:cs="Calibri"/>
                <w:color w:val="000000"/>
                <w:shd w:val="clear" w:color="auto" w:fill="FFFFFF"/>
              </w:rPr>
              <w:t xml:space="preserve">The survey to staff was deemed ready to be sent out. </w:t>
            </w:r>
          </w:p>
        </w:tc>
        <w:tc>
          <w:tcPr>
            <w:tcW w:w="1147" w:type="dxa"/>
          </w:tcPr>
          <w:p w14:paraId="4ECB3AB9" w14:textId="5F2330E2" w:rsidR="001F41BD" w:rsidRDefault="000331E7" w:rsidP="001F41BD">
            <w:r>
              <w:t>RB/SQ</w:t>
            </w:r>
          </w:p>
        </w:tc>
      </w:tr>
      <w:tr w:rsidR="000331E7" w14:paraId="0A99DADE" w14:textId="77777777" w:rsidTr="001A141E">
        <w:tc>
          <w:tcPr>
            <w:tcW w:w="693" w:type="dxa"/>
          </w:tcPr>
          <w:p w14:paraId="7505A069" w14:textId="77777777" w:rsidR="000331E7" w:rsidRDefault="000331E7" w:rsidP="001F41BD"/>
        </w:tc>
        <w:tc>
          <w:tcPr>
            <w:tcW w:w="7176" w:type="dxa"/>
          </w:tcPr>
          <w:p w14:paraId="73E7D5FA" w14:textId="7FB0F59B" w:rsidR="000331E7" w:rsidRDefault="000331E7" w:rsidP="001F41BD">
            <w:pPr>
              <w:rPr>
                <w:rStyle w:val="normaltextrun"/>
                <w:rFonts w:cs="Calibri"/>
                <w:color w:val="000000"/>
                <w:shd w:val="clear" w:color="auto" w:fill="FFFFFF"/>
              </w:rPr>
            </w:pPr>
            <w:r>
              <w:rPr>
                <w:rStyle w:val="normaltextrun"/>
                <w:rFonts w:cs="Calibri"/>
                <w:color w:val="000000"/>
                <w:shd w:val="clear" w:color="auto" w:fill="FFFFFF"/>
              </w:rPr>
              <w:t xml:space="preserve">The culture survey for students needs a little more work. VM and LV added their comments on Teams. RS asked to keep it short, add or highlight support mechanisms for harassment because the survey is anonymous and we can’t go back with help/support (add report and support tool to Q24), change question 22 to clarify </w:t>
            </w:r>
            <w:r w:rsidR="0028138D">
              <w:rPr>
                <w:rStyle w:val="normaltextrun"/>
                <w:rFonts w:cs="Calibri"/>
                <w:color w:val="000000"/>
                <w:shd w:val="clear" w:color="auto" w:fill="FFFFFF"/>
              </w:rPr>
              <w:t>where</w:t>
            </w:r>
            <w:r>
              <w:rPr>
                <w:rStyle w:val="normaltextrun"/>
                <w:rFonts w:cs="Calibri"/>
                <w:color w:val="000000"/>
                <w:shd w:val="clear" w:color="auto" w:fill="FFFFFF"/>
              </w:rPr>
              <w:t xml:space="preserve"> they might have seen </w:t>
            </w:r>
            <w:r w:rsidR="003D5F5F">
              <w:rPr>
                <w:rStyle w:val="normaltextrun"/>
                <w:rFonts w:cs="Calibri"/>
                <w:color w:val="000000"/>
                <w:shd w:val="clear" w:color="auto" w:fill="FFFFFF"/>
              </w:rPr>
              <w:t xml:space="preserve">bullying </w:t>
            </w:r>
            <w:r>
              <w:rPr>
                <w:rStyle w:val="normaltextrun"/>
                <w:rFonts w:cs="Calibri"/>
                <w:color w:val="000000"/>
                <w:shd w:val="clear" w:color="auto" w:fill="FFFFFF"/>
              </w:rPr>
              <w:t xml:space="preserve">or harassment in the field or at the RSM or on the hockey field, add a question like “I am comfortable to approach either my PI or tutor in case of bullying or harassment”. </w:t>
            </w:r>
            <w:r w:rsidR="00DA2146">
              <w:rPr>
                <w:rStyle w:val="normaltextrun"/>
                <w:rFonts w:cs="Calibri"/>
                <w:color w:val="000000"/>
                <w:shd w:val="clear" w:color="auto" w:fill="FFFFFF"/>
              </w:rPr>
              <w:t xml:space="preserve">Define examples for </w:t>
            </w:r>
            <w:proofErr w:type="gramStart"/>
            <w:r w:rsidR="00DA2146">
              <w:rPr>
                <w:rStyle w:val="normaltextrun"/>
                <w:rFonts w:cs="Calibri"/>
                <w:color w:val="000000"/>
                <w:shd w:val="clear" w:color="auto" w:fill="FFFFFF"/>
              </w:rPr>
              <w:t>e.g.</w:t>
            </w:r>
            <w:proofErr w:type="gramEnd"/>
            <w:r w:rsidR="00DA2146">
              <w:rPr>
                <w:rStyle w:val="normaltextrun"/>
                <w:rFonts w:cs="Calibri"/>
                <w:color w:val="000000"/>
                <w:shd w:val="clear" w:color="auto" w:fill="FFFFFF"/>
              </w:rPr>
              <w:t xml:space="preserve"> outreach or harassment.</w:t>
            </w:r>
          </w:p>
        </w:tc>
        <w:tc>
          <w:tcPr>
            <w:tcW w:w="1147" w:type="dxa"/>
          </w:tcPr>
          <w:p w14:paraId="2008BF26" w14:textId="5B36D86D" w:rsidR="000331E7" w:rsidRDefault="00902EBB" w:rsidP="001F41BD">
            <w:r>
              <w:t>RB/SQ/KK</w:t>
            </w:r>
          </w:p>
        </w:tc>
      </w:tr>
      <w:tr w:rsidR="001F41BD" w:rsidRPr="005B4805" w14:paraId="4124432A" w14:textId="77777777" w:rsidTr="001A141E">
        <w:tc>
          <w:tcPr>
            <w:tcW w:w="693" w:type="dxa"/>
          </w:tcPr>
          <w:p w14:paraId="0AF3C915" w14:textId="649B6C88" w:rsidR="001F41BD" w:rsidRPr="005B4805" w:rsidRDefault="000331E7" w:rsidP="001F41BD">
            <w:pPr>
              <w:rPr>
                <w:b/>
              </w:rPr>
            </w:pPr>
            <w:r>
              <w:rPr>
                <w:b/>
              </w:rPr>
              <w:t>8</w:t>
            </w:r>
            <w:r w:rsidR="001F41BD" w:rsidRPr="005B4805">
              <w:rPr>
                <w:b/>
              </w:rPr>
              <w:t>.</w:t>
            </w:r>
          </w:p>
        </w:tc>
        <w:tc>
          <w:tcPr>
            <w:tcW w:w="7176" w:type="dxa"/>
          </w:tcPr>
          <w:p w14:paraId="4575D88F" w14:textId="645A0F6D" w:rsidR="001F41BD" w:rsidRPr="005B4805" w:rsidRDefault="001F41BD" w:rsidP="001F41BD">
            <w:pPr>
              <w:rPr>
                <w:b/>
              </w:rPr>
            </w:pPr>
            <w:r>
              <w:rPr>
                <w:b/>
              </w:rPr>
              <w:t>SAT</w:t>
            </w:r>
            <w:r w:rsidR="000331E7">
              <w:rPr>
                <w:b/>
              </w:rPr>
              <w:t xml:space="preserve"> yearly reports</w:t>
            </w:r>
          </w:p>
        </w:tc>
        <w:tc>
          <w:tcPr>
            <w:tcW w:w="1147" w:type="dxa"/>
          </w:tcPr>
          <w:p w14:paraId="5501CD0D" w14:textId="77777777" w:rsidR="001F41BD" w:rsidRPr="005B4805" w:rsidRDefault="001F41BD" w:rsidP="001F41BD">
            <w:pPr>
              <w:rPr>
                <w:b/>
              </w:rPr>
            </w:pPr>
          </w:p>
        </w:tc>
      </w:tr>
      <w:tr w:rsidR="001F41BD" w14:paraId="70C59356" w14:textId="77777777" w:rsidTr="001A141E">
        <w:tc>
          <w:tcPr>
            <w:tcW w:w="693" w:type="dxa"/>
          </w:tcPr>
          <w:p w14:paraId="5B0699F9" w14:textId="77777777" w:rsidR="001F41BD" w:rsidRDefault="001F41BD" w:rsidP="001F41BD"/>
        </w:tc>
        <w:tc>
          <w:tcPr>
            <w:tcW w:w="7176" w:type="dxa"/>
          </w:tcPr>
          <w:p w14:paraId="43C4BF93" w14:textId="759CA9BB" w:rsidR="001F41BD" w:rsidRDefault="000331E7" w:rsidP="001F41BD">
            <w:r>
              <w:t xml:space="preserve">It has been agreed to use the future meetings to focus on one of the </w:t>
            </w:r>
            <w:r w:rsidR="00902EBB">
              <w:t>sections in our action plan and discuss the newest data, any problems or concerns, the status of our actions. See point 1.6.</w:t>
            </w:r>
          </w:p>
          <w:p w14:paraId="162862F9" w14:textId="77777777" w:rsidR="00DA2146" w:rsidRDefault="00DA2146" w:rsidP="001F41BD"/>
          <w:p w14:paraId="274DD2A1" w14:textId="07AB5F18" w:rsidR="00DA2146" w:rsidRDefault="00DA2146" w:rsidP="001F41BD">
            <w:r>
              <w:t>Prepare a yearly report for the Department</w:t>
            </w:r>
          </w:p>
        </w:tc>
        <w:tc>
          <w:tcPr>
            <w:tcW w:w="1147" w:type="dxa"/>
          </w:tcPr>
          <w:p w14:paraId="495FA729" w14:textId="77777777" w:rsidR="001F41BD" w:rsidRDefault="00902EBB" w:rsidP="001F41BD">
            <w:r>
              <w:t>SAT action owners to prepare</w:t>
            </w:r>
          </w:p>
          <w:p w14:paraId="6F9636EA" w14:textId="7DF60A57" w:rsidR="00DA2146" w:rsidRDefault="00DA2146" w:rsidP="001F41BD">
            <w:r>
              <w:t>KK/RB</w:t>
            </w:r>
          </w:p>
        </w:tc>
      </w:tr>
      <w:tr w:rsidR="001F41BD" w:rsidRPr="002B54C3" w14:paraId="0CECF281" w14:textId="77777777" w:rsidTr="001A141E">
        <w:tc>
          <w:tcPr>
            <w:tcW w:w="693" w:type="dxa"/>
          </w:tcPr>
          <w:p w14:paraId="1CD0D89D" w14:textId="616CBB1D" w:rsidR="001F41BD" w:rsidRPr="002B54C3" w:rsidRDefault="00902EBB" w:rsidP="001F41BD">
            <w:pPr>
              <w:rPr>
                <w:b/>
              </w:rPr>
            </w:pPr>
            <w:r>
              <w:rPr>
                <w:b/>
              </w:rPr>
              <w:t>9</w:t>
            </w:r>
            <w:r w:rsidR="001F41BD" w:rsidRPr="002B54C3">
              <w:rPr>
                <w:b/>
              </w:rPr>
              <w:t>.</w:t>
            </w:r>
          </w:p>
        </w:tc>
        <w:tc>
          <w:tcPr>
            <w:tcW w:w="7176" w:type="dxa"/>
          </w:tcPr>
          <w:p w14:paraId="1312C060" w14:textId="5237B5A9" w:rsidR="001F41BD" w:rsidRPr="002B54C3" w:rsidRDefault="00902EBB" w:rsidP="001F41BD">
            <w:pPr>
              <w:rPr>
                <w:b/>
              </w:rPr>
            </w:pPr>
            <w:r>
              <w:rPr>
                <w:b/>
              </w:rPr>
              <w:t>Updates on EDI topics from members of the SAT</w:t>
            </w:r>
          </w:p>
        </w:tc>
        <w:tc>
          <w:tcPr>
            <w:tcW w:w="1147" w:type="dxa"/>
          </w:tcPr>
          <w:p w14:paraId="516AE556" w14:textId="77777777" w:rsidR="001F41BD" w:rsidRPr="002B54C3" w:rsidRDefault="001F41BD" w:rsidP="001F41BD">
            <w:pPr>
              <w:rPr>
                <w:b/>
              </w:rPr>
            </w:pPr>
          </w:p>
        </w:tc>
      </w:tr>
      <w:tr w:rsidR="001F41BD" w14:paraId="3AF50A98" w14:textId="77777777" w:rsidTr="001A141E">
        <w:tc>
          <w:tcPr>
            <w:tcW w:w="693" w:type="dxa"/>
          </w:tcPr>
          <w:p w14:paraId="4DBEC39D" w14:textId="77777777" w:rsidR="001F41BD" w:rsidRDefault="001F41BD" w:rsidP="001F41BD"/>
        </w:tc>
        <w:tc>
          <w:tcPr>
            <w:tcW w:w="7176" w:type="dxa"/>
          </w:tcPr>
          <w:p w14:paraId="69981F0E" w14:textId="77777777" w:rsidR="00902EBB" w:rsidRDefault="00902EBB" w:rsidP="00902EBB">
            <w:r>
              <w:t>VM added an article and video about flexible working onto the chat.</w:t>
            </w:r>
          </w:p>
          <w:p w14:paraId="5FF1144C" w14:textId="7F332ED2" w:rsidR="00902EBB" w:rsidRDefault="00902EBB" w:rsidP="00902EBB">
            <w:pPr>
              <w:rPr>
                <w:rFonts w:ascii="Segoe UI" w:hAnsi="Segoe UI" w:cs="Segoe UI"/>
                <w:sz w:val="21"/>
                <w:szCs w:val="21"/>
              </w:rPr>
            </w:pPr>
            <w:r>
              <w:rPr>
                <w:rFonts w:ascii="Segoe UI" w:hAnsi="Segoe UI" w:cs="Segoe UI"/>
                <w:sz w:val="21"/>
                <w:szCs w:val="21"/>
              </w:rPr>
              <w:t xml:space="preserve">"How Flexible working can work for women" - an article and video from IC Business School by Celia Moore (Professor of Organisational Behaviour) </w:t>
            </w:r>
            <w:hyperlink r:id="rId10" w:tgtFrame="_blank" w:tooltip="https://www.imperial.ac.uk/business-school/ib-knowledge/many-minds/womens-equality-flexible-working" w:history="1">
              <w:r>
                <w:rPr>
                  <w:rStyle w:val="Hyperlink"/>
                  <w:rFonts w:ascii="Segoe UI" w:hAnsi="Segoe UI" w:cs="Segoe UI"/>
                  <w:sz w:val="21"/>
                  <w:szCs w:val="21"/>
                </w:rPr>
                <w:t>https://www.imperial.ac.uk/business-school/ib-knowledge/many-minds/womens-equality-flexible-working</w:t>
              </w:r>
            </w:hyperlink>
          </w:p>
          <w:p w14:paraId="3D8B7D8F" w14:textId="34DBBCA0" w:rsidR="00902EBB" w:rsidRDefault="00902EBB" w:rsidP="00902EBB">
            <w:pPr>
              <w:rPr>
                <w:lang w:val="en-US"/>
              </w:rPr>
            </w:pPr>
            <w:r>
              <w:t>Sam Krevor informed us about a</w:t>
            </w:r>
            <w:r>
              <w:rPr>
                <w:lang w:val="en-US"/>
              </w:rPr>
              <w:t xml:space="preserve"> new article which is being shared on twitter about the impact of the pandemic on research scientists, and its outsized impact on women with young children:</w:t>
            </w:r>
          </w:p>
          <w:p w14:paraId="2B5C9AE9" w14:textId="77777777" w:rsidR="00902EBB" w:rsidRDefault="00A9207D" w:rsidP="00902EBB">
            <w:pPr>
              <w:rPr>
                <w:lang w:val="en-US"/>
              </w:rPr>
            </w:pPr>
            <w:hyperlink r:id="rId11" w:history="1">
              <w:r w:rsidR="00902EBB">
                <w:rPr>
                  <w:rStyle w:val="Hyperlink"/>
                  <w:lang w:val="en-US"/>
                </w:rPr>
                <w:t>https://www.nature.com/articles/s41467-021-26428-z</w:t>
              </w:r>
            </w:hyperlink>
          </w:p>
          <w:p w14:paraId="2A6335ED" w14:textId="443D9952" w:rsidR="001F41BD" w:rsidRDefault="00902EBB" w:rsidP="001F41BD">
            <w:r>
              <w:t xml:space="preserve">We </w:t>
            </w:r>
            <w:r w:rsidR="00B224EC">
              <w:t>must</w:t>
            </w:r>
            <w:r>
              <w:t xml:space="preserve"> come up with some ways to either highlight the </w:t>
            </w:r>
            <w:r w:rsidR="00072035">
              <w:t>long-lasting</w:t>
            </w:r>
            <w:r>
              <w:t xml:space="preserve"> effects during our recruitment processes or mechanisms to mitigate the effects. </w:t>
            </w:r>
          </w:p>
        </w:tc>
        <w:tc>
          <w:tcPr>
            <w:tcW w:w="1147" w:type="dxa"/>
          </w:tcPr>
          <w:p w14:paraId="70293490" w14:textId="77777777" w:rsidR="001F41BD" w:rsidRDefault="001F41BD" w:rsidP="001F41BD"/>
          <w:p w14:paraId="5E89072B" w14:textId="77777777" w:rsidR="001F41BD" w:rsidRDefault="001F41BD" w:rsidP="001F41BD"/>
          <w:p w14:paraId="6B09FE47" w14:textId="77777777" w:rsidR="001F41BD" w:rsidRDefault="001F41BD" w:rsidP="001F41BD"/>
          <w:p w14:paraId="610C3C62" w14:textId="77777777" w:rsidR="001F41BD" w:rsidRDefault="001F41BD" w:rsidP="001F41BD"/>
          <w:p w14:paraId="0CFEF7D3" w14:textId="77777777" w:rsidR="001F41BD" w:rsidRDefault="001F41BD" w:rsidP="001F41BD"/>
          <w:p w14:paraId="48F0B081" w14:textId="52ABFCE3" w:rsidR="001F41BD" w:rsidRDefault="00902EBB" w:rsidP="001F41BD">
            <w:r>
              <w:t>ALL</w:t>
            </w:r>
          </w:p>
          <w:p w14:paraId="02F5B84F" w14:textId="77777777" w:rsidR="001F41BD" w:rsidRDefault="001F41BD" w:rsidP="001F41BD"/>
          <w:p w14:paraId="3B18A169" w14:textId="28D6CD7C" w:rsidR="001F41BD" w:rsidRDefault="001F41BD" w:rsidP="001F41BD"/>
        </w:tc>
      </w:tr>
      <w:tr w:rsidR="00DA2146" w14:paraId="0D8308CD" w14:textId="77777777" w:rsidTr="001A141E">
        <w:tc>
          <w:tcPr>
            <w:tcW w:w="693" w:type="dxa"/>
          </w:tcPr>
          <w:p w14:paraId="22687FA1" w14:textId="7A65E87C" w:rsidR="00DA2146" w:rsidRDefault="00DA2146" w:rsidP="001F41BD">
            <w:r>
              <w:t>9.1.</w:t>
            </w:r>
          </w:p>
        </w:tc>
        <w:tc>
          <w:tcPr>
            <w:tcW w:w="7176" w:type="dxa"/>
          </w:tcPr>
          <w:p w14:paraId="1DF4FFE2" w14:textId="4FD213D3" w:rsidR="00DA2146" w:rsidRDefault="00DA2146" w:rsidP="00902EBB">
            <w:r>
              <w:t>Ideas are needed for the International Day of Women and Girls in Science on the 11/02/2022. Please think about something we could do and add it to the ideas box on Teams.</w:t>
            </w:r>
          </w:p>
        </w:tc>
        <w:tc>
          <w:tcPr>
            <w:tcW w:w="1147" w:type="dxa"/>
          </w:tcPr>
          <w:p w14:paraId="5B094403" w14:textId="33117BBC" w:rsidR="00DA2146" w:rsidRDefault="00DA2146" w:rsidP="001F41BD">
            <w:r>
              <w:t>ALL</w:t>
            </w:r>
          </w:p>
        </w:tc>
      </w:tr>
      <w:tr w:rsidR="00DA2146" w14:paraId="23CB31B0" w14:textId="77777777" w:rsidTr="001A141E">
        <w:tc>
          <w:tcPr>
            <w:tcW w:w="693" w:type="dxa"/>
          </w:tcPr>
          <w:p w14:paraId="1CEEE2A3" w14:textId="2DD2A4AD" w:rsidR="00DA2146" w:rsidRDefault="00DA2146" w:rsidP="001F41BD">
            <w:r>
              <w:t>9.2.</w:t>
            </w:r>
          </w:p>
        </w:tc>
        <w:tc>
          <w:tcPr>
            <w:tcW w:w="7176" w:type="dxa"/>
          </w:tcPr>
          <w:p w14:paraId="1379500C" w14:textId="46CA09E3" w:rsidR="00DA2146" w:rsidRDefault="00DA2146" w:rsidP="00902EBB">
            <w:r>
              <w:t>Preparations have started for the Women at Imperial week around the International Women’s Day on the 8</w:t>
            </w:r>
            <w:r w:rsidRPr="00DA2146">
              <w:rPr>
                <w:vertAlign w:val="superscript"/>
              </w:rPr>
              <w:t>th</w:t>
            </w:r>
            <w:r>
              <w:t xml:space="preserve"> March. Ideas needed.</w:t>
            </w:r>
          </w:p>
        </w:tc>
        <w:tc>
          <w:tcPr>
            <w:tcW w:w="1147" w:type="dxa"/>
          </w:tcPr>
          <w:p w14:paraId="3000A51E" w14:textId="55E5C2B1" w:rsidR="00DA2146" w:rsidRDefault="00DA2146" w:rsidP="001F41BD">
            <w:r>
              <w:t>ALL</w:t>
            </w:r>
          </w:p>
        </w:tc>
      </w:tr>
      <w:tr w:rsidR="001F41BD" w14:paraId="1D60E6BC" w14:textId="77777777" w:rsidTr="001A141E">
        <w:tc>
          <w:tcPr>
            <w:tcW w:w="693" w:type="dxa"/>
          </w:tcPr>
          <w:p w14:paraId="5E1424F5" w14:textId="2BB097FD" w:rsidR="001F41BD" w:rsidRDefault="00DA2146" w:rsidP="001F41BD">
            <w:r>
              <w:rPr>
                <w:b/>
              </w:rPr>
              <w:t>10</w:t>
            </w:r>
            <w:r w:rsidR="001F41BD" w:rsidRPr="003917F3">
              <w:rPr>
                <w:b/>
              </w:rPr>
              <w:t>.</w:t>
            </w:r>
          </w:p>
        </w:tc>
        <w:tc>
          <w:tcPr>
            <w:tcW w:w="7176" w:type="dxa"/>
          </w:tcPr>
          <w:p w14:paraId="45DAC2D0" w14:textId="70782583" w:rsidR="001F41BD" w:rsidRDefault="00DA2146" w:rsidP="001F41BD">
            <w:r>
              <w:rPr>
                <w:b/>
              </w:rPr>
              <w:t>AOB</w:t>
            </w:r>
            <w:r w:rsidR="001F41BD">
              <w:rPr>
                <w:b/>
              </w:rPr>
              <w:t xml:space="preserve"> </w:t>
            </w:r>
          </w:p>
        </w:tc>
        <w:tc>
          <w:tcPr>
            <w:tcW w:w="1147" w:type="dxa"/>
          </w:tcPr>
          <w:p w14:paraId="74709068" w14:textId="77777777" w:rsidR="001F41BD" w:rsidRDefault="001F41BD" w:rsidP="001F41BD"/>
        </w:tc>
      </w:tr>
      <w:tr w:rsidR="001F41BD" w14:paraId="3AF12EE6" w14:textId="77777777" w:rsidTr="001A141E">
        <w:tc>
          <w:tcPr>
            <w:tcW w:w="693" w:type="dxa"/>
          </w:tcPr>
          <w:p w14:paraId="269625F0" w14:textId="3B8E5DD4" w:rsidR="001F41BD" w:rsidRDefault="001F41BD" w:rsidP="001F41BD"/>
        </w:tc>
        <w:tc>
          <w:tcPr>
            <w:tcW w:w="7176" w:type="dxa"/>
          </w:tcPr>
          <w:p w14:paraId="693A2015" w14:textId="5DEBD670" w:rsidR="001F41BD" w:rsidRDefault="00DA2146" w:rsidP="001F41BD">
            <w:r>
              <w:t>Nothing discussed</w:t>
            </w:r>
            <w:r w:rsidR="001F41BD">
              <w:t xml:space="preserve"> </w:t>
            </w:r>
          </w:p>
        </w:tc>
        <w:tc>
          <w:tcPr>
            <w:tcW w:w="1147" w:type="dxa"/>
          </w:tcPr>
          <w:p w14:paraId="75EDB2CC" w14:textId="4F1F4EC8" w:rsidR="001F41BD" w:rsidRDefault="001F41BD" w:rsidP="001F41BD"/>
        </w:tc>
      </w:tr>
      <w:tr w:rsidR="001F41BD" w:rsidRPr="003917F3" w14:paraId="28EC15E4" w14:textId="77777777" w:rsidTr="001A141E">
        <w:tc>
          <w:tcPr>
            <w:tcW w:w="693" w:type="dxa"/>
          </w:tcPr>
          <w:p w14:paraId="640583CD" w14:textId="27E84EF0" w:rsidR="001F41BD" w:rsidRPr="003917F3" w:rsidRDefault="00DA2146" w:rsidP="001F41BD">
            <w:pPr>
              <w:rPr>
                <w:b/>
              </w:rPr>
            </w:pPr>
            <w:r>
              <w:rPr>
                <w:b/>
              </w:rPr>
              <w:t>11</w:t>
            </w:r>
            <w:r w:rsidR="001F41BD" w:rsidRPr="003917F3">
              <w:rPr>
                <w:b/>
              </w:rPr>
              <w:t>.</w:t>
            </w:r>
          </w:p>
        </w:tc>
        <w:tc>
          <w:tcPr>
            <w:tcW w:w="7176" w:type="dxa"/>
          </w:tcPr>
          <w:p w14:paraId="429E4962" w14:textId="7C36021D" w:rsidR="001F41BD" w:rsidRPr="003917F3" w:rsidRDefault="00DA2146" w:rsidP="001F41BD">
            <w:pPr>
              <w:rPr>
                <w:b/>
              </w:rPr>
            </w:pPr>
            <w:r>
              <w:rPr>
                <w:b/>
              </w:rPr>
              <w:t>Next meetings</w:t>
            </w:r>
          </w:p>
        </w:tc>
        <w:tc>
          <w:tcPr>
            <w:tcW w:w="1147" w:type="dxa"/>
          </w:tcPr>
          <w:p w14:paraId="4D71FC62" w14:textId="77777777" w:rsidR="001F41BD" w:rsidRPr="003917F3" w:rsidRDefault="001F41BD" w:rsidP="001F41BD">
            <w:pPr>
              <w:rPr>
                <w:b/>
              </w:rPr>
            </w:pPr>
          </w:p>
        </w:tc>
      </w:tr>
      <w:tr w:rsidR="001F41BD" w14:paraId="0FBCDCB0" w14:textId="77777777" w:rsidTr="001A141E">
        <w:tc>
          <w:tcPr>
            <w:tcW w:w="693" w:type="dxa"/>
          </w:tcPr>
          <w:p w14:paraId="2E3A22DB" w14:textId="690E3B78" w:rsidR="001F41BD" w:rsidRDefault="001F41BD" w:rsidP="001F41BD"/>
        </w:tc>
        <w:tc>
          <w:tcPr>
            <w:tcW w:w="7176" w:type="dxa"/>
          </w:tcPr>
          <w:p w14:paraId="0757F059" w14:textId="68C55693" w:rsidR="001F41BD" w:rsidRPr="0066312E" w:rsidRDefault="00DA2146" w:rsidP="001F41BD">
            <w:pPr>
              <w:pStyle w:val="Heading3"/>
              <w:spacing w:line="240" w:lineRule="auto"/>
              <w:outlineLvl w:val="2"/>
              <w:rPr>
                <w:rFonts w:asciiTheme="minorHAnsi" w:eastAsia="Times New Roman" w:hAnsiTheme="minorHAnsi" w:cstheme="minorHAnsi"/>
                <w:b w:val="0"/>
                <w:color w:val="auto"/>
                <w:sz w:val="22"/>
                <w:szCs w:val="22"/>
              </w:rPr>
            </w:pPr>
            <w:r>
              <w:rPr>
                <w:rFonts w:asciiTheme="minorHAnsi" w:eastAsia="Times New Roman" w:hAnsiTheme="minorHAnsi" w:cstheme="minorHAnsi"/>
                <w:b w:val="0"/>
                <w:color w:val="auto"/>
                <w:sz w:val="22"/>
                <w:szCs w:val="22"/>
              </w:rPr>
              <w:t>RB will not be working Fridays until likely March. The week including the 14</w:t>
            </w:r>
            <w:r w:rsidRPr="00DA2146">
              <w:rPr>
                <w:rFonts w:asciiTheme="minorHAnsi" w:eastAsia="Times New Roman" w:hAnsiTheme="minorHAnsi" w:cstheme="minorHAnsi"/>
                <w:b w:val="0"/>
                <w:color w:val="auto"/>
                <w:sz w:val="22"/>
                <w:szCs w:val="22"/>
                <w:vertAlign w:val="superscript"/>
              </w:rPr>
              <w:t>th</w:t>
            </w:r>
            <w:r>
              <w:rPr>
                <w:rFonts w:asciiTheme="minorHAnsi" w:eastAsia="Times New Roman" w:hAnsiTheme="minorHAnsi" w:cstheme="minorHAnsi"/>
                <w:b w:val="0"/>
                <w:color w:val="auto"/>
                <w:sz w:val="22"/>
                <w:szCs w:val="22"/>
              </w:rPr>
              <w:t xml:space="preserve"> January is exam week and not suitable for a meeting. Thursday lunch time are weekly seminars. Suitable alternative would be Tuesday 13:00-14:00. ACTION KK verify suitability for other SAT members in email and rebook </w:t>
            </w:r>
            <w:r w:rsidR="0010232D">
              <w:rPr>
                <w:rFonts w:asciiTheme="minorHAnsi" w:eastAsia="Times New Roman" w:hAnsiTheme="minorHAnsi" w:cstheme="minorHAnsi"/>
                <w:b w:val="0"/>
                <w:color w:val="auto"/>
                <w:sz w:val="22"/>
                <w:szCs w:val="22"/>
              </w:rPr>
              <w:t xml:space="preserve">venue. Try to avoid asking for responses. </w:t>
            </w:r>
            <w:r>
              <w:rPr>
                <w:rFonts w:asciiTheme="minorHAnsi" w:eastAsia="Times New Roman" w:hAnsiTheme="minorHAnsi" w:cstheme="minorHAnsi"/>
                <w:b w:val="0"/>
                <w:color w:val="auto"/>
                <w:sz w:val="22"/>
                <w:szCs w:val="22"/>
              </w:rPr>
              <w:t xml:space="preserve"> </w:t>
            </w:r>
          </w:p>
        </w:tc>
        <w:tc>
          <w:tcPr>
            <w:tcW w:w="1147" w:type="dxa"/>
          </w:tcPr>
          <w:p w14:paraId="1A1DEC1A" w14:textId="77777777" w:rsidR="001F41BD" w:rsidRDefault="001F41BD" w:rsidP="001F41BD"/>
          <w:p w14:paraId="14144CD0" w14:textId="77777777" w:rsidR="001F41BD" w:rsidRDefault="001F41BD" w:rsidP="001F41BD"/>
          <w:p w14:paraId="7C1E1F7E" w14:textId="5C3B82C6" w:rsidR="001F41BD" w:rsidRDefault="00DA2146" w:rsidP="001F41BD">
            <w:r>
              <w:t>KK</w:t>
            </w:r>
          </w:p>
          <w:p w14:paraId="53AC3011" w14:textId="29EE64A9" w:rsidR="001F41BD" w:rsidRDefault="00DC388E" w:rsidP="001F41BD">
            <w:r>
              <w:t>DONE</w:t>
            </w:r>
          </w:p>
        </w:tc>
      </w:tr>
    </w:tbl>
    <w:p w14:paraId="14565833" w14:textId="7CD281D3" w:rsidR="0009050F" w:rsidRDefault="0009050F" w:rsidP="0009050F"/>
    <w:sectPr w:rsidR="0009050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A99A" w14:textId="77777777" w:rsidR="001C68DC" w:rsidRDefault="001C68DC" w:rsidP="001C68DC">
      <w:pPr>
        <w:spacing w:after="0" w:line="240" w:lineRule="auto"/>
      </w:pPr>
      <w:r>
        <w:separator/>
      </w:r>
    </w:p>
  </w:endnote>
  <w:endnote w:type="continuationSeparator" w:id="0">
    <w:p w14:paraId="3032C3A6" w14:textId="77777777" w:rsidR="001C68DC" w:rsidRDefault="001C68DC" w:rsidP="001C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Nor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4936" w14:textId="77777777" w:rsidR="001C68DC" w:rsidRDefault="001C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15FA" w14:textId="77777777" w:rsidR="001C68DC" w:rsidRDefault="001C6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4CF1" w14:textId="77777777" w:rsidR="001C68DC" w:rsidRDefault="001C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4A63" w14:textId="77777777" w:rsidR="001C68DC" w:rsidRDefault="001C68DC" w:rsidP="001C68DC">
      <w:pPr>
        <w:spacing w:after="0" w:line="240" w:lineRule="auto"/>
      </w:pPr>
      <w:r>
        <w:separator/>
      </w:r>
    </w:p>
  </w:footnote>
  <w:footnote w:type="continuationSeparator" w:id="0">
    <w:p w14:paraId="10E4378F" w14:textId="77777777" w:rsidR="001C68DC" w:rsidRDefault="001C68DC" w:rsidP="001C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51B" w14:textId="77777777" w:rsidR="001C68DC" w:rsidRDefault="001C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817" w14:textId="2999D20D" w:rsidR="001C68DC" w:rsidRDefault="001C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2735" w14:textId="77777777" w:rsidR="001C68DC" w:rsidRDefault="001C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12B"/>
    <w:multiLevelType w:val="multilevel"/>
    <w:tmpl w:val="24727C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E44B4D"/>
    <w:multiLevelType w:val="multilevel"/>
    <w:tmpl w:val="38CA03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2976F2B"/>
    <w:multiLevelType w:val="multilevel"/>
    <w:tmpl w:val="3D64A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BE6578"/>
    <w:multiLevelType w:val="hybridMultilevel"/>
    <w:tmpl w:val="11E4B2B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D212129"/>
    <w:multiLevelType w:val="multilevel"/>
    <w:tmpl w:val="C1C678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DB07D8"/>
    <w:multiLevelType w:val="hybridMultilevel"/>
    <w:tmpl w:val="0EB0D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002E5"/>
    <w:multiLevelType w:val="hybridMultilevel"/>
    <w:tmpl w:val="24F4E668"/>
    <w:lvl w:ilvl="0" w:tplc="A4225318">
      <w:start w:val="1"/>
      <w:numFmt w:val="lowerLetter"/>
      <w:lvlText w:val="%1)"/>
      <w:lvlJc w:val="left"/>
      <w:pPr>
        <w:ind w:left="2430" w:hanging="360"/>
      </w:pPr>
    </w:lvl>
    <w:lvl w:ilvl="1" w:tplc="08090019">
      <w:start w:val="1"/>
      <w:numFmt w:val="lowerLetter"/>
      <w:lvlText w:val="%2."/>
      <w:lvlJc w:val="left"/>
      <w:pPr>
        <w:ind w:left="3150" w:hanging="360"/>
      </w:pPr>
    </w:lvl>
    <w:lvl w:ilvl="2" w:tplc="0809001B">
      <w:start w:val="1"/>
      <w:numFmt w:val="lowerRoman"/>
      <w:lvlText w:val="%3."/>
      <w:lvlJc w:val="right"/>
      <w:pPr>
        <w:ind w:left="3870" w:hanging="180"/>
      </w:pPr>
    </w:lvl>
    <w:lvl w:ilvl="3" w:tplc="0809000F">
      <w:start w:val="1"/>
      <w:numFmt w:val="decimal"/>
      <w:lvlText w:val="%4."/>
      <w:lvlJc w:val="left"/>
      <w:pPr>
        <w:ind w:left="4590" w:hanging="360"/>
      </w:pPr>
    </w:lvl>
    <w:lvl w:ilvl="4" w:tplc="08090019">
      <w:start w:val="1"/>
      <w:numFmt w:val="lowerLetter"/>
      <w:lvlText w:val="%5."/>
      <w:lvlJc w:val="left"/>
      <w:pPr>
        <w:ind w:left="5310" w:hanging="360"/>
      </w:pPr>
    </w:lvl>
    <w:lvl w:ilvl="5" w:tplc="0809001B">
      <w:start w:val="1"/>
      <w:numFmt w:val="lowerRoman"/>
      <w:lvlText w:val="%6."/>
      <w:lvlJc w:val="right"/>
      <w:pPr>
        <w:ind w:left="6030" w:hanging="180"/>
      </w:pPr>
    </w:lvl>
    <w:lvl w:ilvl="6" w:tplc="0809000F">
      <w:start w:val="1"/>
      <w:numFmt w:val="decimal"/>
      <w:lvlText w:val="%7."/>
      <w:lvlJc w:val="left"/>
      <w:pPr>
        <w:ind w:left="6750" w:hanging="360"/>
      </w:pPr>
    </w:lvl>
    <w:lvl w:ilvl="7" w:tplc="08090019">
      <w:start w:val="1"/>
      <w:numFmt w:val="lowerLetter"/>
      <w:lvlText w:val="%8."/>
      <w:lvlJc w:val="left"/>
      <w:pPr>
        <w:ind w:left="7470" w:hanging="360"/>
      </w:pPr>
    </w:lvl>
    <w:lvl w:ilvl="8" w:tplc="0809001B">
      <w:start w:val="1"/>
      <w:numFmt w:val="lowerRoman"/>
      <w:lvlText w:val="%9."/>
      <w:lvlJc w:val="right"/>
      <w:pPr>
        <w:ind w:left="8190" w:hanging="180"/>
      </w:pPr>
    </w:lvl>
  </w:abstractNum>
  <w:abstractNum w:abstractNumId="7" w15:restartNumberingAfterBreak="0">
    <w:nsid w:val="224325F6"/>
    <w:multiLevelType w:val="hybridMultilevel"/>
    <w:tmpl w:val="111E20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D2B60"/>
    <w:multiLevelType w:val="hybridMultilevel"/>
    <w:tmpl w:val="0CBE2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A7190"/>
    <w:multiLevelType w:val="hybridMultilevel"/>
    <w:tmpl w:val="712C2D26"/>
    <w:lvl w:ilvl="0" w:tplc="9BC8E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E7599"/>
    <w:multiLevelType w:val="hybridMultilevel"/>
    <w:tmpl w:val="7B64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A1475"/>
    <w:multiLevelType w:val="hybridMultilevel"/>
    <w:tmpl w:val="E90A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B6214"/>
    <w:multiLevelType w:val="hybridMultilevel"/>
    <w:tmpl w:val="BB6E0D7E"/>
    <w:lvl w:ilvl="0" w:tplc="66506810">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C57AAA"/>
    <w:multiLevelType w:val="multilevel"/>
    <w:tmpl w:val="364212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9051033"/>
    <w:multiLevelType w:val="multilevel"/>
    <w:tmpl w:val="2AC65C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947E0D"/>
    <w:multiLevelType w:val="hybridMultilevel"/>
    <w:tmpl w:val="AE882258"/>
    <w:lvl w:ilvl="0" w:tplc="329AA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D4FA7"/>
    <w:multiLevelType w:val="hybridMultilevel"/>
    <w:tmpl w:val="0206056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1B41CFC"/>
    <w:multiLevelType w:val="hybridMultilevel"/>
    <w:tmpl w:val="445C0E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F5045D9"/>
    <w:multiLevelType w:val="hybridMultilevel"/>
    <w:tmpl w:val="9F2E236C"/>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7E46E6"/>
    <w:multiLevelType w:val="multilevel"/>
    <w:tmpl w:val="DCCC0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8710A97"/>
    <w:multiLevelType w:val="multilevel"/>
    <w:tmpl w:val="DE1EC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2E16C9F"/>
    <w:multiLevelType w:val="hybridMultilevel"/>
    <w:tmpl w:val="EC2881F8"/>
    <w:lvl w:ilvl="0" w:tplc="80D26CD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0B734A"/>
    <w:multiLevelType w:val="multilevel"/>
    <w:tmpl w:val="4C98B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1"/>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22"/>
  </w:num>
  <w:num w:numId="8">
    <w:abstractNumId w:val="20"/>
  </w:num>
  <w:num w:numId="9">
    <w:abstractNumId w:val="13"/>
  </w:num>
  <w:num w:numId="10">
    <w:abstractNumId w:val="3"/>
  </w:num>
  <w:num w:numId="11">
    <w:abstractNumId w:val="10"/>
  </w:num>
  <w:num w:numId="12">
    <w:abstractNumId w:val="14"/>
  </w:num>
  <w:num w:numId="13">
    <w:abstractNumId w:val="2"/>
  </w:num>
  <w:num w:numId="14">
    <w:abstractNumId w:val="19"/>
  </w:num>
  <w:num w:numId="15">
    <w:abstractNumId w:val="1"/>
  </w:num>
  <w:num w:numId="16">
    <w:abstractNumId w:val="0"/>
  </w:num>
  <w:num w:numId="17">
    <w:abstractNumId w:val="4"/>
  </w:num>
  <w:num w:numId="18">
    <w:abstractNumId w:val="17"/>
  </w:num>
  <w:num w:numId="19">
    <w:abstractNumId w:val="16"/>
  </w:num>
  <w:num w:numId="20">
    <w:abstractNumId w:val="9"/>
  </w:num>
  <w:num w:numId="21">
    <w:abstractNumId w:val="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3A"/>
    <w:rsid w:val="00006B5C"/>
    <w:rsid w:val="00007082"/>
    <w:rsid w:val="000331E7"/>
    <w:rsid w:val="00036081"/>
    <w:rsid w:val="00040C50"/>
    <w:rsid w:val="000467A7"/>
    <w:rsid w:val="00055F99"/>
    <w:rsid w:val="00065762"/>
    <w:rsid w:val="00072035"/>
    <w:rsid w:val="000767A0"/>
    <w:rsid w:val="0009050F"/>
    <w:rsid w:val="000C3C74"/>
    <w:rsid w:val="000C45C8"/>
    <w:rsid w:val="000F22F9"/>
    <w:rsid w:val="0010232D"/>
    <w:rsid w:val="00105F27"/>
    <w:rsid w:val="0011067A"/>
    <w:rsid w:val="00114FEB"/>
    <w:rsid w:val="00122D88"/>
    <w:rsid w:val="00132FBD"/>
    <w:rsid w:val="001411FB"/>
    <w:rsid w:val="00151C06"/>
    <w:rsid w:val="001533F2"/>
    <w:rsid w:val="00173E9F"/>
    <w:rsid w:val="00182D2B"/>
    <w:rsid w:val="001A141E"/>
    <w:rsid w:val="001C68DC"/>
    <w:rsid w:val="001D2C7F"/>
    <w:rsid w:val="001E1DEB"/>
    <w:rsid w:val="001F0A5A"/>
    <w:rsid w:val="001F41BD"/>
    <w:rsid w:val="00237CE1"/>
    <w:rsid w:val="00245C53"/>
    <w:rsid w:val="00256968"/>
    <w:rsid w:val="00265459"/>
    <w:rsid w:val="0028138D"/>
    <w:rsid w:val="002B15EB"/>
    <w:rsid w:val="002B54C3"/>
    <w:rsid w:val="002C227C"/>
    <w:rsid w:val="002C771E"/>
    <w:rsid w:val="002D2E36"/>
    <w:rsid w:val="002E4D7B"/>
    <w:rsid w:val="00317625"/>
    <w:rsid w:val="00336FA8"/>
    <w:rsid w:val="00341FE4"/>
    <w:rsid w:val="003431BF"/>
    <w:rsid w:val="0036771F"/>
    <w:rsid w:val="00380E26"/>
    <w:rsid w:val="0038574E"/>
    <w:rsid w:val="003917F3"/>
    <w:rsid w:val="003A0CD2"/>
    <w:rsid w:val="003A749D"/>
    <w:rsid w:val="003B28D8"/>
    <w:rsid w:val="003D5F5F"/>
    <w:rsid w:val="003E6861"/>
    <w:rsid w:val="003F04D8"/>
    <w:rsid w:val="0041285A"/>
    <w:rsid w:val="00421E4D"/>
    <w:rsid w:val="00422D45"/>
    <w:rsid w:val="0042769C"/>
    <w:rsid w:val="00462C9C"/>
    <w:rsid w:val="0049199C"/>
    <w:rsid w:val="004B1BEB"/>
    <w:rsid w:val="004F79BE"/>
    <w:rsid w:val="005009D8"/>
    <w:rsid w:val="005050D2"/>
    <w:rsid w:val="00506D89"/>
    <w:rsid w:val="0054080B"/>
    <w:rsid w:val="00541678"/>
    <w:rsid w:val="00543AD3"/>
    <w:rsid w:val="005538C7"/>
    <w:rsid w:val="00581C45"/>
    <w:rsid w:val="00591948"/>
    <w:rsid w:val="005A2E72"/>
    <w:rsid w:val="005B4805"/>
    <w:rsid w:val="005D705F"/>
    <w:rsid w:val="005E2728"/>
    <w:rsid w:val="00603938"/>
    <w:rsid w:val="006061C9"/>
    <w:rsid w:val="00611961"/>
    <w:rsid w:val="00611E6B"/>
    <w:rsid w:val="0062199E"/>
    <w:rsid w:val="0062553B"/>
    <w:rsid w:val="00647965"/>
    <w:rsid w:val="00651C66"/>
    <w:rsid w:val="00652CE8"/>
    <w:rsid w:val="0066312E"/>
    <w:rsid w:val="00680263"/>
    <w:rsid w:val="00681458"/>
    <w:rsid w:val="00681941"/>
    <w:rsid w:val="006940CE"/>
    <w:rsid w:val="006A43B7"/>
    <w:rsid w:val="006A7E4E"/>
    <w:rsid w:val="006C3F46"/>
    <w:rsid w:val="006C6F78"/>
    <w:rsid w:val="006E1EEA"/>
    <w:rsid w:val="006E6926"/>
    <w:rsid w:val="00701628"/>
    <w:rsid w:val="007044A4"/>
    <w:rsid w:val="00741B8B"/>
    <w:rsid w:val="00755667"/>
    <w:rsid w:val="00756DCD"/>
    <w:rsid w:val="00760611"/>
    <w:rsid w:val="007653B5"/>
    <w:rsid w:val="007711A8"/>
    <w:rsid w:val="00790E52"/>
    <w:rsid w:val="007964E1"/>
    <w:rsid w:val="007B2756"/>
    <w:rsid w:val="007B6D86"/>
    <w:rsid w:val="007C3E45"/>
    <w:rsid w:val="007E5005"/>
    <w:rsid w:val="00804746"/>
    <w:rsid w:val="00823931"/>
    <w:rsid w:val="00870DD2"/>
    <w:rsid w:val="0089558E"/>
    <w:rsid w:val="008A3444"/>
    <w:rsid w:val="008B34A6"/>
    <w:rsid w:val="008C3549"/>
    <w:rsid w:val="008C5359"/>
    <w:rsid w:val="008C5475"/>
    <w:rsid w:val="008E30DE"/>
    <w:rsid w:val="008F1F3C"/>
    <w:rsid w:val="008F5280"/>
    <w:rsid w:val="00902EBB"/>
    <w:rsid w:val="00905BF7"/>
    <w:rsid w:val="00924793"/>
    <w:rsid w:val="0094413D"/>
    <w:rsid w:val="00952412"/>
    <w:rsid w:val="00956E84"/>
    <w:rsid w:val="0096008D"/>
    <w:rsid w:val="00970168"/>
    <w:rsid w:val="0097553E"/>
    <w:rsid w:val="009C3B3C"/>
    <w:rsid w:val="009D4162"/>
    <w:rsid w:val="009E61E2"/>
    <w:rsid w:val="009F2A28"/>
    <w:rsid w:val="009F47B9"/>
    <w:rsid w:val="00A13B5B"/>
    <w:rsid w:val="00A16BC9"/>
    <w:rsid w:val="00A1733E"/>
    <w:rsid w:val="00A3176B"/>
    <w:rsid w:val="00A45F65"/>
    <w:rsid w:val="00A63049"/>
    <w:rsid w:val="00A91E2E"/>
    <w:rsid w:val="00A9207D"/>
    <w:rsid w:val="00AA17A2"/>
    <w:rsid w:val="00AE722B"/>
    <w:rsid w:val="00B0201B"/>
    <w:rsid w:val="00B224EC"/>
    <w:rsid w:val="00B2622E"/>
    <w:rsid w:val="00B40B72"/>
    <w:rsid w:val="00B55A81"/>
    <w:rsid w:val="00B56CFD"/>
    <w:rsid w:val="00B60D86"/>
    <w:rsid w:val="00B64A42"/>
    <w:rsid w:val="00B77C90"/>
    <w:rsid w:val="00B818D8"/>
    <w:rsid w:val="00B91AD8"/>
    <w:rsid w:val="00BB477A"/>
    <w:rsid w:val="00BC2D0B"/>
    <w:rsid w:val="00BC4AA8"/>
    <w:rsid w:val="00BC5E9D"/>
    <w:rsid w:val="00BC6A11"/>
    <w:rsid w:val="00C1781C"/>
    <w:rsid w:val="00C54F23"/>
    <w:rsid w:val="00C66579"/>
    <w:rsid w:val="00C72E77"/>
    <w:rsid w:val="00C850AA"/>
    <w:rsid w:val="00C86DD1"/>
    <w:rsid w:val="00CA5545"/>
    <w:rsid w:val="00CD533A"/>
    <w:rsid w:val="00CE1008"/>
    <w:rsid w:val="00CE109E"/>
    <w:rsid w:val="00CE4D92"/>
    <w:rsid w:val="00CF7C22"/>
    <w:rsid w:val="00D11F15"/>
    <w:rsid w:val="00D36237"/>
    <w:rsid w:val="00D51CD3"/>
    <w:rsid w:val="00D7428F"/>
    <w:rsid w:val="00DA2146"/>
    <w:rsid w:val="00DC388E"/>
    <w:rsid w:val="00DE3D59"/>
    <w:rsid w:val="00E11E87"/>
    <w:rsid w:val="00E12BE0"/>
    <w:rsid w:val="00E16DC2"/>
    <w:rsid w:val="00E374A3"/>
    <w:rsid w:val="00E42A8A"/>
    <w:rsid w:val="00E43B43"/>
    <w:rsid w:val="00E66CF2"/>
    <w:rsid w:val="00E67272"/>
    <w:rsid w:val="00E91E49"/>
    <w:rsid w:val="00EA3B5C"/>
    <w:rsid w:val="00F04BFD"/>
    <w:rsid w:val="00F177DE"/>
    <w:rsid w:val="00F3718E"/>
    <w:rsid w:val="00F668F7"/>
    <w:rsid w:val="00FB3D23"/>
    <w:rsid w:val="00FD139A"/>
    <w:rsid w:val="00FF2765"/>
    <w:rsid w:val="00FF5E4A"/>
    <w:rsid w:val="00FF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4DF7E7"/>
  <w15:chartTrackingRefBased/>
  <w15:docId w15:val="{CDFCBE84-A36A-4778-A41D-D61F07B8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6312E"/>
    <w:pPr>
      <w:spacing w:after="0" w:line="300" w:lineRule="auto"/>
      <w:outlineLvl w:val="2"/>
    </w:pPr>
    <w:rPr>
      <w:rFonts w:ascii="Helvetica" w:hAnsi="Helvetica" w:cs="Times New Roman"/>
      <w:b/>
      <w:bCs/>
      <w:color w:val="202020"/>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3A"/>
    <w:pPr>
      <w:ind w:left="720"/>
      <w:contextualSpacing/>
    </w:pPr>
  </w:style>
  <w:style w:type="paragraph" w:styleId="PlainText">
    <w:name w:val="Plain Text"/>
    <w:basedOn w:val="Normal"/>
    <w:link w:val="PlainTextChar"/>
    <w:uiPriority w:val="99"/>
    <w:semiHidden/>
    <w:unhideWhenUsed/>
    <w:rsid w:val="006C6F7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6F78"/>
    <w:rPr>
      <w:rFonts w:ascii="Calibri" w:hAnsi="Calibri"/>
      <w:szCs w:val="21"/>
    </w:rPr>
  </w:style>
  <w:style w:type="character" w:styleId="CommentReference">
    <w:name w:val="annotation reference"/>
    <w:basedOn w:val="DefaultParagraphFont"/>
    <w:uiPriority w:val="99"/>
    <w:semiHidden/>
    <w:unhideWhenUsed/>
    <w:rsid w:val="003A749D"/>
    <w:rPr>
      <w:sz w:val="16"/>
      <w:szCs w:val="16"/>
    </w:rPr>
  </w:style>
  <w:style w:type="paragraph" w:styleId="CommentText">
    <w:name w:val="annotation text"/>
    <w:basedOn w:val="Normal"/>
    <w:link w:val="CommentTextChar"/>
    <w:uiPriority w:val="99"/>
    <w:semiHidden/>
    <w:unhideWhenUsed/>
    <w:rsid w:val="003A749D"/>
    <w:pPr>
      <w:spacing w:line="240" w:lineRule="auto"/>
    </w:pPr>
    <w:rPr>
      <w:sz w:val="20"/>
      <w:szCs w:val="20"/>
    </w:rPr>
  </w:style>
  <w:style w:type="character" w:customStyle="1" w:styleId="CommentTextChar">
    <w:name w:val="Comment Text Char"/>
    <w:basedOn w:val="DefaultParagraphFont"/>
    <w:link w:val="CommentText"/>
    <w:uiPriority w:val="99"/>
    <w:semiHidden/>
    <w:rsid w:val="003A749D"/>
    <w:rPr>
      <w:sz w:val="20"/>
      <w:szCs w:val="20"/>
    </w:rPr>
  </w:style>
  <w:style w:type="paragraph" w:styleId="CommentSubject">
    <w:name w:val="annotation subject"/>
    <w:basedOn w:val="CommentText"/>
    <w:next w:val="CommentText"/>
    <w:link w:val="CommentSubjectChar"/>
    <w:uiPriority w:val="99"/>
    <w:semiHidden/>
    <w:unhideWhenUsed/>
    <w:rsid w:val="003A749D"/>
    <w:rPr>
      <w:b/>
      <w:bCs/>
    </w:rPr>
  </w:style>
  <w:style w:type="character" w:customStyle="1" w:styleId="CommentSubjectChar">
    <w:name w:val="Comment Subject Char"/>
    <w:basedOn w:val="CommentTextChar"/>
    <w:link w:val="CommentSubject"/>
    <w:uiPriority w:val="99"/>
    <w:semiHidden/>
    <w:rsid w:val="003A749D"/>
    <w:rPr>
      <w:b/>
      <w:bCs/>
      <w:sz w:val="20"/>
      <w:szCs w:val="20"/>
    </w:rPr>
  </w:style>
  <w:style w:type="paragraph" w:styleId="BalloonText">
    <w:name w:val="Balloon Text"/>
    <w:basedOn w:val="Normal"/>
    <w:link w:val="BalloonTextChar"/>
    <w:uiPriority w:val="99"/>
    <w:semiHidden/>
    <w:unhideWhenUsed/>
    <w:rsid w:val="003A7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49D"/>
    <w:rPr>
      <w:rFonts w:ascii="Segoe UI" w:hAnsi="Segoe UI" w:cs="Segoe UI"/>
      <w:sz w:val="18"/>
      <w:szCs w:val="18"/>
    </w:rPr>
  </w:style>
  <w:style w:type="character" w:styleId="Strong">
    <w:name w:val="Strong"/>
    <w:basedOn w:val="DefaultParagraphFont"/>
    <w:uiPriority w:val="22"/>
    <w:qFormat/>
    <w:rsid w:val="0038574E"/>
    <w:rPr>
      <w:b/>
      <w:bCs/>
    </w:rPr>
  </w:style>
  <w:style w:type="table" w:styleId="TableGrid">
    <w:name w:val="Table Grid"/>
    <w:basedOn w:val="TableNormal"/>
    <w:uiPriority w:val="39"/>
    <w:rsid w:val="002E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8DC"/>
  </w:style>
  <w:style w:type="paragraph" w:styleId="Footer">
    <w:name w:val="footer"/>
    <w:basedOn w:val="Normal"/>
    <w:link w:val="FooterChar"/>
    <w:uiPriority w:val="99"/>
    <w:unhideWhenUsed/>
    <w:rsid w:val="001C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8DC"/>
  </w:style>
  <w:style w:type="character" w:customStyle="1" w:styleId="normaltextrun">
    <w:name w:val="normaltextrun"/>
    <w:basedOn w:val="DefaultParagraphFont"/>
    <w:rsid w:val="00380E26"/>
  </w:style>
  <w:style w:type="character" w:customStyle="1" w:styleId="eop">
    <w:name w:val="eop"/>
    <w:basedOn w:val="DefaultParagraphFont"/>
    <w:rsid w:val="00380E26"/>
  </w:style>
  <w:style w:type="paragraph" w:customStyle="1" w:styleId="paragraph">
    <w:name w:val="paragraph"/>
    <w:basedOn w:val="Normal"/>
    <w:rsid w:val="00E374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6312E"/>
    <w:rPr>
      <w:rFonts w:ascii="Helvetica" w:hAnsi="Helvetica" w:cs="Times New Roman"/>
      <w:b/>
      <w:bCs/>
      <w:color w:val="202020"/>
      <w:sz w:val="30"/>
      <w:szCs w:val="30"/>
      <w:lang w:eastAsia="en-GB"/>
    </w:rPr>
  </w:style>
  <w:style w:type="character" w:styleId="Emphasis">
    <w:name w:val="Emphasis"/>
    <w:basedOn w:val="DefaultParagraphFont"/>
    <w:uiPriority w:val="20"/>
    <w:qFormat/>
    <w:rsid w:val="0066312E"/>
    <w:rPr>
      <w:i/>
      <w:iCs/>
    </w:rPr>
  </w:style>
  <w:style w:type="character" w:styleId="Hyperlink">
    <w:name w:val="Hyperlink"/>
    <w:basedOn w:val="DefaultParagraphFont"/>
    <w:uiPriority w:val="99"/>
    <w:unhideWhenUsed/>
    <w:rsid w:val="00B55A81"/>
    <w:rPr>
      <w:color w:val="0563C1"/>
      <w:u w:val="single"/>
    </w:rPr>
  </w:style>
  <w:style w:type="character" w:styleId="UnresolvedMention">
    <w:name w:val="Unresolved Mention"/>
    <w:basedOn w:val="DefaultParagraphFont"/>
    <w:uiPriority w:val="99"/>
    <w:semiHidden/>
    <w:unhideWhenUsed/>
    <w:rsid w:val="00FD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6025">
      <w:bodyDiv w:val="1"/>
      <w:marLeft w:val="0"/>
      <w:marRight w:val="0"/>
      <w:marTop w:val="0"/>
      <w:marBottom w:val="0"/>
      <w:divBdr>
        <w:top w:val="none" w:sz="0" w:space="0" w:color="auto"/>
        <w:left w:val="none" w:sz="0" w:space="0" w:color="auto"/>
        <w:bottom w:val="none" w:sz="0" w:space="0" w:color="auto"/>
        <w:right w:val="none" w:sz="0" w:space="0" w:color="auto"/>
      </w:divBdr>
      <w:divsChild>
        <w:div w:id="53159085">
          <w:marLeft w:val="0"/>
          <w:marRight w:val="0"/>
          <w:marTop w:val="0"/>
          <w:marBottom w:val="0"/>
          <w:divBdr>
            <w:top w:val="none" w:sz="0" w:space="0" w:color="auto"/>
            <w:left w:val="none" w:sz="0" w:space="0" w:color="auto"/>
            <w:bottom w:val="none" w:sz="0" w:space="0" w:color="auto"/>
            <w:right w:val="none" w:sz="0" w:space="0" w:color="auto"/>
          </w:divBdr>
        </w:div>
        <w:div w:id="713426256">
          <w:marLeft w:val="0"/>
          <w:marRight w:val="0"/>
          <w:marTop w:val="0"/>
          <w:marBottom w:val="0"/>
          <w:divBdr>
            <w:top w:val="none" w:sz="0" w:space="0" w:color="auto"/>
            <w:left w:val="none" w:sz="0" w:space="0" w:color="auto"/>
            <w:bottom w:val="none" w:sz="0" w:space="0" w:color="auto"/>
            <w:right w:val="none" w:sz="0" w:space="0" w:color="auto"/>
          </w:divBdr>
        </w:div>
        <w:div w:id="1071805188">
          <w:marLeft w:val="0"/>
          <w:marRight w:val="0"/>
          <w:marTop w:val="0"/>
          <w:marBottom w:val="0"/>
          <w:divBdr>
            <w:top w:val="none" w:sz="0" w:space="0" w:color="auto"/>
            <w:left w:val="none" w:sz="0" w:space="0" w:color="auto"/>
            <w:bottom w:val="none" w:sz="0" w:space="0" w:color="auto"/>
            <w:right w:val="none" w:sz="0" w:space="0" w:color="auto"/>
          </w:divBdr>
        </w:div>
        <w:div w:id="194118770">
          <w:marLeft w:val="0"/>
          <w:marRight w:val="0"/>
          <w:marTop w:val="0"/>
          <w:marBottom w:val="0"/>
          <w:divBdr>
            <w:top w:val="none" w:sz="0" w:space="0" w:color="auto"/>
            <w:left w:val="none" w:sz="0" w:space="0" w:color="auto"/>
            <w:bottom w:val="none" w:sz="0" w:space="0" w:color="auto"/>
            <w:right w:val="none" w:sz="0" w:space="0" w:color="auto"/>
          </w:divBdr>
        </w:div>
        <w:div w:id="1453093546">
          <w:marLeft w:val="0"/>
          <w:marRight w:val="0"/>
          <w:marTop w:val="0"/>
          <w:marBottom w:val="0"/>
          <w:divBdr>
            <w:top w:val="none" w:sz="0" w:space="0" w:color="auto"/>
            <w:left w:val="none" w:sz="0" w:space="0" w:color="auto"/>
            <w:bottom w:val="none" w:sz="0" w:space="0" w:color="auto"/>
            <w:right w:val="none" w:sz="0" w:space="0" w:color="auto"/>
          </w:divBdr>
        </w:div>
        <w:div w:id="238029271">
          <w:marLeft w:val="0"/>
          <w:marRight w:val="0"/>
          <w:marTop w:val="0"/>
          <w:marBottom w:val="0"/>
          <w:divBdr>
            <w:top w:val="none" w:sz="0" w:space="0" w:color="auto"/>
            <w:left w:val="none" w:sz="0" w:space="0" w:color="auto"/>
            <w:bottom w:val="none" w:sz="0" w:space="0" w:color="auto"/>
            <w:right w:val="none" w:sz="0" w:space="0" w:color="auto"/>
          </w:divBdr>
        </w:div>
      </w:divsChild>
    </w:div>
    <w:div w:id="107706328">
      <w:bodyDiv w:val="1"/>
      <w:marLeft w:val="0"/>
      <w:marRight w:val="0"/>
      <w:marTop w:val="0"/>
      <w:marBottom w:val="0"/>
      <w:divBdr>
        <w:top w:val="none" w:sz="0" w:space="0" w:color="auto"/>
        <w:left w:val="none" w:sz="0" w:space="0" w:color="auto"/>
        <w:bottom w:val="none" w:sz="0" w:space="0" w:color="auto"/>
        <w:right w:val="none" w:sz="0" w:space="0" w:color="auto"/>
      </w:divBdr>
      <w:divsChild>
        <w:div w:id="693966426">
          <w:marLeft w:val="0"/>
          <w:marRight w:val="0"/>
          <w:marTop w:val="0"/>
          <w:marBottom w:val="0"/>
          <w:divBdr>
            <w:top w:val="none" w:sz="0" w:space="0" w:color="auto"/>
            <w:left w:val="none" w:sz="0" w:space="0" w:color="auto"/>
            <w:bottom w:val="none" w:sz="0" w:space="0" w:color="auto"/>
            <w:right w:val="none" w:sz="0" w:space="0" w:color="auto"/>
          </w:divBdr>
        </w:div>
      </w:divsChild>
    </w:div>
    <w:div w:id="572620664">
      <w:bodyDiv w:val="1"/>
      <w:marLeft w:val="0"/>
      <w:marRight w:val="0"/>
      <w:marTop w:val="0"/>
      <w:marBottom w:val="0"/>
      <w:divBdr>
        <w:top w:val="none" w:sz="0" w:space="0" w:color="auto"/>
        <w:left w:val="none" w:sz="0" w:space="0" w:color="auto"/>
        <w:bottom w:val="none" w:sz="0" w:space="0" w:color="auto"/>
        <w:right w:val="none" w:sz="0" w:space="0" w:color="auto"/>
      </w:divBdr>
    </w:div>
    <w:div w:id="584000005">
      <w:bodyDiv w:val="1"/>
      <w:marLeft w:val="0"/>
      <w:marRight w:val="0"/>
      <w:marTop w:val="0"/>
      <w:marBottom w:val="0"/>
      <w:divBdr>
        <w:top w:val="none" w:sz="0" w:space="0" w:color="auto"/>
        <w:left w:val="none" w:sz="0" w:space="0" w:color="auto"/>
        <w:bottom w:val="none" w:sz="0" w:space="0" w:color="auto"/>
        <w:right w:val="none" w:sz="0" w:space="0" w:color="auto"/>
      </w:divBdr>
    </w:div>
    <w:div w:id="651445229">
      <w:bodyDiv w:val="1"/>
      <w:marLeft w:val="0"/>
      <w:marRight w:val="0"/>
      <w:marTop w:val="0"/>
      <w:marBottom w:val="0"/>
      <w:divBdr>
        <w:top w:val="none" w:sz="0" w:space="0" w:color="auto"/>
        <w:left w:val="none" w:sz="0" w:space="0" w:color="auto"/>
        <w:bottom w:val="none" w:sz="0" w:space="0" w:color="auto"/>
        <w:right w:val="none" w:sz="0" w:space="0" w:color="auto"/>
      </w:divBdr>
    </w:div>
    <w:div w:id="719090795">
      <w:bodyDiv w:val="1"/>
      <w:marLeft w:val="0"/>
      <w:marRight w:val="0"/>
      <w:marTop w:val="0"/>
      <w:marBottom w:val="0"/>
      <w:divBdr>
        <w:top w:val="none" w:sz="0" w:space="0" w:color="auto"/>
        <w:left w:val="none" w:sz="0" w:space="0" w:color="auto"/>
        <w:bottom w:val="none" w:sz="0" w:space="0" w:color="auto"/>
        <w:right w:val="none" w:sz="0" w:space="0" w:color="auto"/>
      </w:divBdr>
    </w:div>
    <w:div w:id="985277447">
      <w:bodyDiv w:val="1"/>
      <w:marLeft w:val="0"/>
      <w:marRight w:val="0"/>
      <w:marTop w:val="0"/>
      <w:marBottom w:val="0"/>
      <w:divBdr>
        <w:top w:val="none" w:sz="0" w:space="0" w:color="auto"/>
        <w:left w:val="none" w:sz="0" w:space="0" w:color="auto"/>
        <w:bottom w:val="none" w:sz="0" w:space="0" w:color="auto"/>
        <w:right w:val="none" w:sz="0" w:space="0" w:color="auto"/>
      </w:divBdr>
    </w:div>
    <w:div w:id="1193374550">
      <w:bodyDiv w:val="1"/>
      <w:marLeft w:val="0"/>
      <w:marRight w:val="0"/>
      <w:marTop w:val="0"/>
      <w:marBottom w:val="0"/>
      <w:divBdr>
        <w:top w:val="none" w:sz="0" w:space="0" w:color="auto"/>
        <w:left w:val="none" w:sz="0" w:space="0" w:color="auto"/>
        <w:bottom w:val="none" w:sz="0" w:space="0" w:color="auto"/>
        <w:right w:val="none" w:sz="0" w:space="0" w:color="auto"/>
      </w:divBdr>
    </w:div>
    <w:div w:id="1392923851">
      <w:bodyDiv w:val="1"/>
      <w:marLeft w:val="0"/>
      <w:marRight w:val="0"/>
      <w:marTop w:val="0"/>
      <w:marBottom w:val="0"/>
      <w:divBdr>
        <w:top w:val="none" w:sz="0" w:space="0" w:color="auto"/>
        <w:left w:val="none" w:sz="0" w:space="0" w:color="auto"/>
        <w:bottom w:val="none" w:sz="0" w:space="0" w:color="auto"/>
        <w:right w:val="none" w:sz="0" w:space="0" w:color="auto"/>
      </w:divBdr>
      <w:divsChild>
        <w:div w:id="720982324">
          <w:marLeft w:val="0"/>
          <w:marRight w:val="0"/>
          <w:marTop w:val="0"/>
          <w:marBottom w:val="0"/>
          <w:divBdr>
            <w:top w:val="none" w:sz="0" w:space="0" w:color="auto"/>
            <w:left w:val="none" w:sz="0" w:space="0" w:color="auto"/>
            <w:bottom w:val="none" w:sz="0" w:space="0" w:color="auto"/>
            <w:right w:val="none" w:sz="0" w:space="0" w:color="auto"/>
          </w:divBdr>
        </w:div>
        <w:div w:id="1706367921">
          <w:marLeft w:val="0"/>
          <w:marRight w:val="0"/>
          <w:marTop w:val="0"/>
          <w:marBottom w:val="0"/>
          <w:divBdr>
            <w:top w:val="none" w:sz="0" w:space="0" w:color="auto"/>
            <w:left w:val="none" w:sz="0" w:space="0" w:color="auto"/>
            <w:bottom w:val="none" w:sz="0" w:space="0" w:color="auto"/>
            <w:right w:val="none" w:sz="0" w:space="0" w:color="auto"/>
          </w:divBdr>
        </w:div>
        <w:div w:id="1580477362">
          <w:marLeft w:val="0"/>
          <w:marRight w:val="0"/>
          <w:marTop w:val="0"/>
          <w:marBottom w:val="0"/>
          <w:divBdr>
            <w:top w:val="none" w:sz="0" w:space="0" w:color="auto"/>
            <w:left w:val="none" w:sz="0" w:space="0" w:color="auto"/>
            <w:bottom w:val="none" w:sz="0" w:space="0" w:color="auto"/>
            <w:right w:val="none" w:sz="0" w:space="0" w:color="auto"/>
          </w:divBdr>
        </w:div>
        <w:div w:id="1503466080">
          <w:marLeft w:val="0"/>
          <w:marRight w:val="0"/>
          <w:marTop w:val="0"/>
          <w:marBottom w:val="0"/>
          <w:divBdr>
            <w:top w:val="none" w:sz="0" w:space="0" w:color="auto"/>
            <w:left w:val="none" w:sz="0" w:space="0" w:color="auto"/>
            <w:bottom w:val="none" w:sz="0" w:space="0" w:color="auto"/>
            <w:right w:val="none" w:sz="0" w:space="0" w:color="auto"/>
          </w:divBdr>
        </w:div>
        <w:div w:id="2038041489">
          <w:marLeft w:val="0"/>
          <w:marRight w:val="0"/>
          <w:marTop w:val="0"/>
          <w:marBottom w:val="0"/>
          <w:divBdr>
            <w:top w:val="none" w:sz="0" w:space="0" w:color="auto"/>
            <w:left w:val="none" w:sz="0" w:space="0" w:color="auto"/>
            <w:bottom w:val="none" w:sz="0" w:space="0" w:color="auto"/>
            <w:right w:val="none" w:sz="0" w:space="0" w:color="auto"/>
          </w:divBdr>
        </w:div>
        <w:div w:id="1271007538">
          <w:marLeft w:val="0"/>
          <w:marRight w:val="0"/>
          <w:marTop w:val="0"/>
          <w:marBottom w:val="0"/>
          <w:divBdr>
            <w:top w:val="none" w:sz="0" w:space="0" w:color="auto"/>
            <w:left w:val="none" w:sz="0" w:space="0" w:color="auto"/>
            <w:bottom w:val="none" w:sz="0" w:space="0" w:color="auto"/>
            <w:right w:val="none" w:sz="0" w:space="0" w:color="auto"/>
          </w:divBdr>
        </w:div>
      </w:divsChild>
    </w:div>
    <w:div w:id="1522939577">
      <w:bodyDiv w:val="1"/>
      <w:marLeft w:val="0"/>
      <w:marRight w:val="0"/>
      <w:marTop w:val="0"/>
      <w:marBottom w:val="0"/>
      <w:divBdr>
        <w:top w:val="none" w:sz="0" w:space="0" w:color="auto"/>
        <w:left w:val="none" w:sz="0" w:space="0" w:color="auto"/>
        <w:bottom w:val="none" w:sz="0" w:space="0" w:color="auto"/>
        <w:right w:val="none" w:sz="0" w:space="0" w:color="auto"/>
      </w:divBdr>
    </w:div>
    <w:div w:id="1561481927">
      <w:bodyDiv w:val="1"/>
      <w:marLeft w:val="0"/>
      <w:marRight w:val="0"/>
      <w:marTop w:val="0"/>
      <w:marBottom w:val="0"/>
      <w:divBdr>
        <w:top w:val="none" w:sz="0" w:space="0" w:color="auto"/>
        <w:left w:val="none" w:sz="0" w:space="0" w:color="auto"/>
        <w:bottom w:val="none" w:sz="0" w:space="0" w:color="auto"/>
        <w:right w:val="none" w:sz="0" w:space="0" w:color="auto"/>
      </w:divBdr>
      <w:divsChild>
        <w:div w:id="1992908516">
          <w:marLeft w:val="0"/>
          <w:marRight w:val="0"/>
          <w:marTop w:val="0"/>
          <w:marBottom w:val="0"/>
          <w:divBdr>
            <w:top w:val="none" w:sz="0" w:space="0" w:color="auto"/>
            <w:left w:val="none" w:sz="0" w:space="0" w:color="auto"/>
            <w:bottom w:val="none" w:sz="0" w:space="0" w:color="auto"/>
            <w:right w:val="none" w:sz="0" w:space="0" w:color="auto"/>
          </w:divBdr>
        </w:div>
        <w:div w:id="387535302">
          <w:marLeft w:val="0"/>
          <w:marRight w:val="0"/>
          <w:marTop w:val="0"/>
          <w:marBottom w:val="0"/>
          <w:divBdr>
            <w:top w:val="none" w:sz="0" w:space="0" w:color="auto"/>
            <w:left w:val="none" w:sz="0" w:space="0" w:color="auto"/>
            <w:bottom w:val="none" w:sz="0" w:space="0" w:color="auto"/>
            <w:right w:val="none" w:sz="0" w:space="0" w:color="auto"/>
          </w:divBdr>
        </w:div>
        <w:div w:id="1182158105">
          <w:marLeft w:val="0"/>
          <w:marRight w:val="0"/>
          <w:marTop w:val="0"/>
          <w:marBottom w:val="0"/>
          <w:divBdr>
            <w:top w:val="none" w:sz="0" w:space="0" w:color="auto"/>
            <w:left w:val="none" w:sz="0" w:space="0" w:color="auto"/>
            <w:bottom w:val="none" w:sz="0" w:space="0" w:color="auto"/>
            <w:right w:val="none" w:sz="0" w:space="0" w:color="auto"/>
          </w:divBdr>
        </w:div>
      </w:divsChild>
    </w:div>
    <w:div w:id="1986858857">
      <w:bodyDiv w:val="1"/>
      <w:marLeft w:val="0"/>
      <w:marRight w:val="0"/>
      <w:marTop w:val="0"/>
      <w:marBottom w:val="0"/>
      <w:divBdr>
        <w:top w:val="none" w:sz="0" w:space="0" w:color="auto"/>
        <w:left w:val="none" w:sz="0" w:space="0" w:color="auto"/>
        <w:bottom w:val="none" w:sz="0" w:space="0" w:color="auto"/>
        <w:right w:val="none" w:sz="0" w:space="0" w:color="auto"/>
      </w:divBdr>
      <w:divsChild>
        <w:div w:id="623195966">
          <w:marLeft w:val="0"/>
          <w:marRight w:val="0"/>
          <w:marTop w:val="0"/>
          <w:marBottom w:val="0"/>
          <w:divBdr>
            <w:top w:val="none" w:sz="0" w:space="0" w:color="auto"/>
            <w:left w:val="none" w:sz="0" w:space="0" w:color="auto"/>
            <w:bottom w:val="none" w:sz="0" w:space="0" w:color="auto"/>
            <w:right w:val="none" w:sz="0" w:space="0" w:color="auto"/>
          </w:divBdr>
        </w:div>
        <w:div w:id="1795976406">
          <w:marLeft w:val="0"/>
          <w:marRight w:val="0"/>
          <w:marTop w:val="0"/>
          <w:marBottom w:val="0"/>
          <w:divBdr>
            <w:top w:val="none" w:sz="0" w:space="0" w:color="auto"/>
            <w:left w:val="none" w:sz="0" w:space="0" w:color="auto"/>
            <w:bottom w:val="none" w:sz="0" w:space="0" w:color="auto"/>
            <w:right w:val="none" w:sz="0" w:space="0" w:color="auto"/>
          </w:divBdr>
        </w:div>
        <w:div w:id="1671568189">
          <w:marLeft w:val="0"/>
          <w:marRight w:val="0"/>
          <w:marTop w:val="0"/>
          <w:marBottom w:val="0"/>
          <w:divBdr>
            <w:top w:val="none" w:sz="0" w:space="0" w:color="auto"/>
            <w:left w:val="none" w:sz="0" w:space="0" w:color="auto"/>
            <w:bottom w:val="none" w:sz="0" w:space="0" w:color="auto"/>
            <w:right w:val="none" w:sz="0" w:space="0" w:color="auto"/>
          </w:divBdr>
        </w:div>
        <w:div w:id="25065923">
          <w:marLeft w:val="0"/>
          <w:marRight w:val="0"/>
          <w:marTop w:val="0"/>
          <w:marBottom w:val="0"/>
          <w:divBdr>
            <w:top w:val="none" w:sz="0" w:space="0" w:color="auto"/>
            <w:left w:val="none" w:sz="0" w:space="0" w:color="auto"/>
            <w:bottom w:val="none" w:sz="0" w:space="0" w:color="auto"/>
            <w:right w:val="none" w:sz="0" w:space="0" w:color="auto"/>
          </w:divBdr>
        </w:div>
        <w:div w:id="1314063101">
          <w:marLeft w:val="0"/>
          <w:marRight w:val="0"/>
          <w:marTop w:val="0"/>
          <w:marBottom w:val="0"/>
          <w:divBdr>
            <w:top w:val="none" w:sz="0" w:space="0" w:color="auto"/>
            <w:left w:val="none" w:sz="0" w:space="0" w:color="auto"/>
            <w:bottom w:val="none" w:sz="0" w:space="0" w:color="auto"/>
            <w:right w:val="none" w:sz="0" w:space="0" w:color="auto"/>
          </w:divBdr>
        </w:div>
        <w:div w:id="511530737">
          <w:marLeft w:val="0"/>
          <w:marRight w:val="0"/>
          <w:marTop w:val="0"/>
          <w:marBottom w:val="0"/>
          <w:divBdr>
            <w:top w:val="none" w:sz="0" w:space="0" w:color="auto"/>
            <w:left w:val="none" w:sz="0" w:space="0" w:color="auto"/>
            <w:bottom w:val="none" w:sz="0" w:space="0" w:color="auto"/>
            <w:right w:val="none" w:sz="0" w:space="0" w:color="auto"/>
          </w:divBdr>
        </w:div>
      </w:divsChild>
    </w:div>
    <w:div w:id="20345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story.dialogue@imperial.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s.google.co.uk/books?id=-Y4hmVTbd_oC&amp;printsec=frontcover&amp;source=gbs_ge_summary_r&amp;cad=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articles/s41467-021-26428-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mperial.ac.uk/business-school/ib-knowledge/many-minds/womens-equality-flexible-work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remarkablz.com/page274094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Rebecca E</dc:creator>
  <cp:keywords/>
  <dc:description/>
  <cp:lastModifiedBy>Kreissig, Katharina</cp:lastModifiedBy>
  <cp:revision>2</cp:revision>
  <cp:lastPrinted>2021-09-16T11:42:00Z</cp:lastPrinted>
  <dcterms:created xsi:type="dcterms:W3CDTF">2022-01-19T10:42:00Z</dcterms:created>
  <dcterms:modified xsi:type="dcterms:W3CDTF">2022-01-19T10:42:00Z</dcterms:modified>
</cp:coreProperties>
</file>