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9228A" w14:textId="77777777" w:rsidR="00D968F7" w:rsidRDefault="00D968F7" w:rsidP="00D968F7">
      <w:pPr>
        <w:jc w:val="center"/>
        <w:rPr>
          <w:b/>
          <w:bCs/>
          <w:u w:val="single"/>
        </w:rPr>
      </w:pPr>
      <w:r>
        <w:rPr>
          <w:b/>
          <w:bCs/>
          <w:u w:val="single"/>
        </w:rPr>
        <w:t>NIHR Non-commercial Partner List</w:t>
      </w:r>
    </w:p>
    <w:p w14:paraId="08EF0B09" w14:textId="77777777" w:rsidR="00D968F7" w:rsidRDefault="00D968F7" w:rsidP="00D968F7">
      <w:pPr>
        <w:jc w:val="center"/>
        <w:rPr>
          <w:b/>
          <w:bCs/>
          <w:u w:val="single"/>
        </w:rPr>
      </w:pPr>
    </w:p>
    <w:p w14:paraId="55871855" w14:textId="77777777" w:rsidR="00D968F7" w:rsidRDefault="00D968F7" w:rsidP="00D968F7">
      <w:r>
        <w:t xml:space="preserve">1 </w:t>
      </w:r>
      <w:r>
        <w:tab/>
        <w:t>Introduction</w:t>
      </w:r>
    </w:p>
    <w:p w14:paraId="3ABD5A55" w14:textId="77777777" w:rsidR="00D968F7" w:rsidRDefault="00D968F7" w:rsidP="00D968F7"/>
    <w:p w14:paraId="62BBBE0A" w14:textId="1FCE3FA8" w:rsidR="00E45B6D" w:rsidRDefault="00D968F7" w:rsidP="00D968F7">
      <w:r>
        <w:t>1.1</w:t>
      </w:r>
      <w:r>
        <w:tab/>
        <w:t xml:space="preserve">The </w:t>
      </w:r>
      <w:hyperlink r:id="rId8" w:history="1">
        <w:r>
          <w:rPr>
            <w:rStyle w:val="Hyperlink"/>
            <w:rFonts w:eastAsia="MS Mincho"/>
          </w:rPr>
          <w:t>Eligibility Criteria for NIHR Clinical Research Network Support</w:t>
        </w:r>
        <w:r>
          <w:rPr>
            <w:rStyle w:val="Hyperlink"/>
            <w:rFonts w:eastAsia="MS Mincho"/>
            <w:i/>
          </w:rPr>
          <w:t xml:space="preserve"> </w:t>
        </w:r>
      </w:hyperlink>
      <w:r>
        <w:t xml:space="preserve">(Cited </w:t>
      </w:r>
      <w:r w:rsidR="00BF191B">
        <w:t>14 Mar 2023</w:t>
      </w:r>
      <w:r>
        <w:t>)</w:t>
      </w:r>
      <w:r>
        <w:rPr>
          <w:i/>
        </w:rPr>
        <w:t xml:space="preserve"> </w:t>
      </w:r>
      <w:r>
        <w:t xml:space="preserve">effective from </w:t>
      </w:r>
      <w:r w:rsidR="00A564F6">
        <w:t xml:space="preserve">December 2017 </w:t>
      </w:r>
      <w:r>
        <w:t>,</w:t>
      </w:r>
      <w:r>
        <w:rPr>
          <w:i/>
        </w:rPr>
        <w:t xml:space="preserve"> </w:t>
      </w:r>
      <w:r>
        <w:t>sets out the criteria governing the eligibility of studies for National Institute for Health Research (NIHR) Clinical Research Network (CRN) support. It therefore relates only to England. Studies that are automatically eligible for consideration for NIHR CRN support are studies that are funded by the NIHR, other areas of central Government, and NIHR non-commercial Partners.</w:t>
      </w:r>
    </w:p>
    <w:p w14:paraId="1842524D" w14:textId="77777777" w:rsidR="00E45B6D" w:rsidRDefault="00E45B6D" w:rsidP="00D968F7"/>
    <w:p w14:paraId="0D3F4679" w14:textId="48A43ED5" w:rsidR="00D968F7" w:rsidRDefault="00E45B6D" w:rsidP="00D968F7">
      <w:r w:rsidRPr="007929E9">
        <w:t xml:space="preserve">If the funder is not considered an automatically eligible partner, the project must </w:t>
      </w:r>
      <w:proofErr w:type="spellStart"/>
      <w:r w:rsidRPr="007929E9">
        <w:t>fulfill</w:t>
      </w:r>
      <w:proofErr w:type="spellEnd"/>
      <w:r w:rsidRPr="007929E9">
        <w:t xml:space="preserve"> the criteria applied in the extended review process. NIHR training schemes may also be considered eligible. </w:t>
      </w:r>
    </w:p>
    <w:p w14:paraId="4F7F5065" w14:textId="77777777" w:rsidR="00D968F7" w:rsidRDefault="00D968F7" w:rsidP="00D968F7"/>
    <w:p w14:paraId="623C149F" w14:textId="77777777" w:rsidR="00D968F7" w:rsidRDefault="00D968F7" w:rsidP="00D968F7">
      <w:r>
        <w:t>1.2</w:t>
      </w:r>
      <w:r>
        <w:tab/>
        <w:t xml:space="preserve">The purpose of this document is to provide a list of non-commercial funding organisations that meet the NIHR Partner criteria below. This reference guide is intended to enable researchers and other users to easily identify NIHR non-commercial Partners and is updated every two weeks by the NIHR CRN. </w:t>
      </w:r>
    </w:p>
    <w:p w14:paraId="35F0011D" w14:textId="77777777" w:rsidR="00D968F7" w:rsidRDefault="00D968F7" w:rsidP="00D968F7">
      <w:r>
        <w:t xml:space="preserve"> </w:t>
      </w:r>
    </w:p>
    <w:p w14:paraId="536777D9" w14:textId="77777777" w:rsidR="00D968F7" w:rsidRDefault="00D968F7" w:rsidP="00D968F7"/>
    <w:p w14:paraId="436D9028" w14:textId="77777777" w:rsidR="00D968F7" w:rsidRDefault="00D968F7" w:rsidP="00D968F7">
      <w:r>
        <w:t xml:space="preserve">2 </w:t>
      </w:r>
      <w:r>
        <w:tab/>
        <w:t>NIHR Partner Criteria</w:t>
      </w:r>
    </w:p>
    <w:p w14:paraId="5D401D94" w14:textId="77777777" w:rsidR="00D968F7" w:rsidRDefault="00D968F7" w:rsidP="00D968F7"/>
    <w:p w14:paraId="7FBBA8CE" w14:textId="5669DA54" w:rsidR="00D968F7" w:rsidRDefault="00D968F7" w:rsidP="00D968F7">
      <w:r>
        <w:t xml:space="preserve">2.1 </w:t>
      </w:r>
      <w:r>
        <w:tab/>
        <w:t>As set out in the Eligibility Criteria for NIHR Clinical Research Network Support (</w:t>
      </w:r>
      <w:r w:rsidR="00B012AF">
        <w:t>January 20</w:t>
      </w:r>
      <w:r w:rsidR="00D20AC4">
        <w:t>18</w:t>
      </w:r>
      <w:proofErr w:type="gramStart"/>
      <w:r>
        <w:t>)</w:t>
      </w:r>
      <w:r>
        <w:rPr>
          <w:i/>
        </w:rPr>
        <w:t xml:space="preserve"> </w:t>
      </w:r>
      <w:r>
        <w:t xml:space="preserve"> effective</w:t>
      </w:r>
      <w:proofErr w:type="gramEnd"/>
      <w:r>
        <w:t xml:space="preserve"> from </w:t>
      </w:r>
      <w:r w:rsidR="00D20AC4">
        <w:t>Jan 2020</w:t>
      </w:r>
      <w:r>
        <w:t>, NIHR non-commercial Partners are those organisations that:</w:t>
      </w:r>
    </w:p>
    <w:p w14:paraId="5D47D235" w14:textId="77777777" w:rsidR="00D968F7" w:rsidRDefault="00D968F7" w:rsidP="00D968F7"/>
    <w:p w14:paraId="27582056" w14:textId="77777777" w:rsidR="00D968F7" w:rsidRDefault="00D968F7" w:rsidP="00D968F7">
      <w:r>
        <w:t xml:space="preserve">Award research funds </w:t>
      </w:r>
      <w:proofErr w:type="gramStart"/>
      <w:r>
        <w:t>as a result of</w:t>
      </w:r>
      <w:proofErr w:type="gramEnd"/>
      <w:r>
        <w:t xml:space="preserve"> open competition across England with high quality peer review; and</w:t>
      </w:r>
    </w:p>
    <w:p w14:paraId="7ADD37FD" w14:textId="77777777" w:rsidR="00D968F7" w:rsidRDefault="00D968F7" w:rsidP="00D968F7">
      <w:r>
        <w:t>Fund research that is of clear value to the NHS; and</w:t>
      </w:r>
    </w:p>
    <w:p w14:paraId="13B9E052" w14:textId="77777777" w:rsidR="00D968F7" w:rsidRDefault="00D968F7" w:rsidP="00D968F7">
      <w:r>
        <w:t>Take appropriate account of the priorities, needs and realities of the NHS in making decisions about the research that they fund.</w:t>
      </w:r>
    </w:p>
    <w:p w14:paraId="5CDF638F" w14:textId="77777777" w:rsidR="00D968F7" w:rsidRDefault="00D968F7" w:rsidP="00D968F7"/>
    <w:p w14:paraId="00FB4084" w14:textId="77777777" w:rsidR="00D968F7" w:rsidRDefault="00D968F7" w:rsidP="00D968F7">
      <w:r>
        <w:t>2.2</w:t>
      </w:r>
      <w:r>
        <w:tab/>
        <w:t>NIHR non-commercial Partner status is confirmed via a self-declaration process. Non-commercial organisations are required to sign a self-declaration that they meet the NIHR non-commercial Partner criteria and to confirm the funding streams that are applicable. Further information on self-declaration as an NIHR non-commercial Partner is available on the CRN website</w:t>
      </w:r>
      <w:r>
        <w:rPr>
          <w:rStyle w:val="FootnoteReference"/>
          <w:rFonts w:cs="Arial"/>
        </w:rPr>
        <w:footnoteReference w:id="1"/>
      </w:r>
      <w:r>
        <w:t xml:space="preserve">. </w:t>
      </w:r>
    </w:p>
    <w:p w14:paraId="41E6BA15" w14:textId="77777777" w:rsidR="00D968F7" w:rsidRDefault="00D968F7" w:rsidP="00D968F7"/>
    <w:p w14:paraId="4B7D7EF6" w14:textId="77777777" w:rsidR="00D968F7" w:rsidRDefault="00D968F7" w:rsidP="00D968F7">
      <w:pPr>
        <w:rPr>
          <w:sz w:val="22"/>
          <w:szCs w:val="22"/>
        </w:rPr>
      </w:pPr>
      <w:r>
        <w:rPr>
          <w:sz w:val="22"/>
          <w:szCs w:val="22"/>
        </w:rPr>
        <w:t>2.3</w:t>
      </w:r>
      <w:r>
        <w:rPr>
          <w:sz w:val="22"/>
          <w:szCs w:val="22"/>
        </w:rPr>
        <w:tab/>
        <w:t>It is important to note that:</w:t>
      </w:r>
    </w:p>
    <w:p w14:paraId="287C85AD" w14:textId="77777777" w:rsidR="00D968F7" w:rsidRDefault="00D968F7" w:rsidP="00D968F7">
      <w:pPr>
        <w:rPr>
          <w:sz w:val="22"/>
          <w:szCs w:val="22"/>
        </w:rPr>
      </w:pPr>
    </w:p>
    <w:p w14:paraId="2FCD03B7" w14:textId="77777777" w:rsidR="0053258B" w:rsidRDefault="0053258B" w:rsidP="0053258B">
      <w:pPr>
        <w:numPr>
          <w:ilvl w:val="0"/>
          <w:numId w:val="1"/>
        </w:numPr>
        <w:spacing w:before="100" w:beforeAutospacing="1" w:after="240"/>
        <w:rPr>
          <w:lang w:val="en"/>
        </w:rPr>
      </w:pPr>
      <w:r>
        <w:rPr>
          <w:lang w:val="en"/>
        </w:rPr>
        <w:t xml:space="preserve">NIHR non-commercial Partners that operate multiple funding streams must self-declare against the NIHR Partner criteria with respect to </w:t>
      </w:r>
      <w:proofErr w:type="gramStart"/>
      <w:r>
        <w:rPr>
          <w:lang w:val="en"/>
        </w:rPr>
        <w:t>all of</w:t>
      </w:r>
      <w:proofErr w:type="gramEnd"/>
      <w:r>
        <w:rPr>
          <w:lang w:val="en"/>
        </w:rPr>
        <w:t xml:space="preserve"> the existing </w:t>
      </w:r>
      <w:r>
        <w:rPr>
          <w:lang w:val="en"/>
        </w:rPr>
        <w:lastRenderedPageBreak/>
        <w:t xml:space="preserve">funding streams they administer. NIHR non-commercial Partners that operate a mixture of funding streams, some of which are eligible and some of which are not (or operate funding streams that are not intended to provide funds for research purposes), are denoted with an asterisk (*) in the table provided in section 3. You are advised to contact a member of the Eligibility Team at the NIHR CRN (via </w:t>
      </w:r>
      <w:hyperlink r:id="rId9" w:tgtFrame="_blank" w:history="1">
        <w:r>
          <w:rPr>
            <w:rStyle w:val="Hyperlink"/>
            <w:lang w:val="en"/>
          </w:rPr>
          <w:t>portfolio.applications@nihr.ac.uk</w:t>
        </w:r>
      </w:hyperlink>
      <w:r>
        <w:rPr>
          <w:lang w:val="en"/>
        </w:rPr>
        <w:t xml:space="preserve">) for further information on the eligibility of these NIHR non-commercial Partners’ funding streams. </w:t>
      </w:r>
    </w:p>
    <w:p w14:paraId="67143EBF" w14:textId="77777777" w:rsidR="0053258B" w:rsidRDefault="0053258B" w:rsidP="0053258B">
      <w:pPr>
        <w:numPr>
          <w:ilvl w:val="0"/>
          <w:numId w:val="1"/>
        </w:numPr>
        <w:spacing w:before="100" w:beforeAutospacing="1" w:after="240"/>
        <w:rPr>
          <w:lang w:val="en"/>
        </w:rPr>
      </w:pPr>
      <w:r>
        <w:rPr>
          <w:lang w:val="en"/>
        </w:rPr>
        <w:t>All studies supported by an NIHR non-commercial Partner are still required to meet all other NIHR Clinical Research Network Eligibility Criteria before being considered automatically eligible for consideration for NIHR CRN support.</w:t>
      </w:r>
    </w:p>
    <w:p w14:paraId="5AFDE336" w14:textId="743F2E64" w:rsidR="00E45B6D" w:rsidRDefault="0053258B" w:rsidP="00E45B6D">
      <w:pPr>
        <w:numPr>
          <w:ilvl w:val="0"/>
          <w:numId w:val="1"/>
        </w:numPr>
        <w:spacing w:before="100" w:beforeAutospacing="1" w:after="100" w:afterAutospacing="1"/>
        <w:rPr>
          <w:lang w:val="en"/>
        </w:rPr>
      </w:pPr>
      <w:r>
        <w:rPr>
          <w:lang w:val="en"/>
        </w:rPr>
        <w:t>The research funders denoted by (‡) in the table provided in section 3 have “</w:t>
      </w:r>
      <w:proofErr w:type="spellStart"/>
      <w:r>
        <w:rPr>
          <w:lang w:val="en"/>
        </w:rPr>
        <w:t>self declared</w:t>
      </w:r>
      <w:proofErr w:type="spellEnd"/>
      <w:r>
        <w:rPr>
          <w:lang w:val="en"/>
        </w:rPr>
        <w:t xml:space="preserve">” that at least one funding stream they administer meets the NIHR non-commercial Partner criteria as stated in the Department of Health policy document Eligibility Criteria for NIHR Clinical Research Network Support (January 2018). The NIHR Clinical Research Network has included these </w:t>
      </w:r>
      <w:proofErr w:type="spellStart"/>
      <w:r>
        <w:rPr>
          <w:lang w:val="en"/>
        </w:rPr>
        <w:t>organisations</w:t>
      </w:r>
      <w:proofErr w:type="spellEnd"/>
      <w:r>
        <w:rPr>
          <w:lang w:val="en"/>
        </w:rPr>
        <w:t xml:space="preserve"> in good faith.</w:t>
      </w:r>
    </w:p>
    <w:p w14:paraId="569D2AA1" w14:textId="377FA84D" w:rsidR="00E45B6D" w:rsidRDefault="00E45B6D" w:rsidP="00D968F7"/>
    <w:p w14:paraId="37685E8D" w14:textId="77777777" w:rsidR="00E45B6D" w:rsidRDefault="00E45B6D" w:rsidP="00D968F7"/>
    <w:p w14:paraId="474B3147" w14:textId="1B0665B6" w:rsidR="00D968F7" w:rsidRDefault="00D968F7" w:rsidP="00D968F7">
      <w:pPr>
        <w:rPr>
          <w:b/>
        </w:rPr>
      </w:pPr>
      <w:r>
        <w:rPr>
          <w:b/>
          <w:color w:val="000000"/>
        </w:rPr>
        <w:t xml:space="preserve">Appendix 3    </w:t>
      </w:r>
      <w:hyperlink r:id="rId10" w:history="1">
        <w:r>
          <w:rPr>
            <w:rStyle w:val="Hyperlink"/>
            <w:rFonts w:eastAsia="MS Mincho"/>
            <w:b/>
          </w:rPr>
          <w:t>Current list of NIHR non-commercial Partners</w:t>
        </w:r>
      </w:hyperlink>
      <w:r>
        <w:rPr>
          <w:b/>
        </w:rPr>
        <w:t xml:space="preserve"> (Cited </w:t>
      </w:r>
      <w:r w:rsidR="00D276A5">
        <w:rPr>
          <w:b/>
        </w:rPr>
        <w:t>14 Mar 2023</w:t>
      </w:r>
      <w:r>
        <w:rPr>
          <w:b/>
        </w:rPr>
        <w:t>)</w:t>
      </w:r>
    </w:p>
    <w:p w14:paraId="2AAE3E45" w14:textId="77777777" w:rsidR="00D968F7" w:rsidRDefault="00D968F7" w:rsidP="00D968F7">
      <w:pPr>
        <w:rPr>
          <w:rFonts w:cs="Arial"/>
        </w:rPr>
      </w:pPr>
    </w:p>
    <w:p w14:paraId="7997AFDC" w14:textId="77777777" w:rsidR="00D968F7" w:rsidRDefault="00D968F7" w:rsidP="00D968F7">
      <w:pPr>
        <w:rPr>
          <w:bCs/>
          <w:color w:val="000000"/>
          <w:sz w:val="28"/>
          <w:szCs w:val="28"/>
        </w:rPr>
      </w:pPr>
    </w:p>
    <w:p w14:paraId="4B42801C" w14:textId="77777777" w:rsidR="00D968F7" w:rsidRDefault="00D968F7" w:rsidP="00D968F7">
      <w:pPr>
        <w:jc w:val="center"/>
        <w:rPr>
          <w:b/>
          <w:bCs/>
          <w:u w:val="single"/>
        </w:rPr>
      </w:pPr>
    </w:p>
    <w:p w14:paraId="4D01994A" w14:textId="13366CD4" w:rsidR="007B566B" w:rsidRDefault="007B566B"/>
    <w:sectPr w:rsidR="007B566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04D2B" w14:textId="77777777" w:rsidR="00EB7445" w:rsidRDefault="00EB7445" w:rsidP="00B86149">
      <w:r>
        <w:separator/>
      </w:r>
    </w:p>
  </w:endnote>
  <w:endnote w:type="continuationSeparator" w:id="0">
    <w:p w14:paraId="191C53A3" w14:textId="77777777" w:rsidR="00EB7445" w:rsidRDefault="00EB7445" w:rsidP="00B8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6EEF6" w14:textId="69C07D81" w:rsidR="00851FC6" w:rsidRPr="002A736A" w:rsidRDefault="00851FC6" w:rsidP="00851FC6">
    <w:pPr>
      <w:pStyle w:val="Footer"/>
      <w:tabs>
        <w:tab w:val="right" w:pos="8640"/>
      </w:tabs>
      <w:rPr>
        <w:rFonts w:ascii="Arial" w:hAnsi="Arial" w:cs="Arial"/>
        <w:sz w:val="18"/>
        <w:szCs w:val="18"/>
      </w:rPr>
    </w:pPr>
    <w:r w:rsidRPr="002A736A">
      <w:rPr>
        <w:rFonts w:ascii="Arial" w:hAnsi="Arial" w:cs="Arial"/>
        <w:sz w:val="18"/>
        <w:szCs w:val="18"/>
      </w:rPr>
      <w:t xml:space="preserve">Template Ref: </w:t>
    </w:r>
    <w:r w:rsidR="002B0638" w:rsidRPr="002A736A">
      <w:rPr>
        <w:rFonts w:ascii="Arial" w:hAnsi="Arial" w:cs="Arial"/>
        <w:sz w:val="18"/>
        <w:szCs w:val="18"/>
      </w:rPr>
      <w:t>RGIT_TEMP_045</w:t>
    </w:r>
  </w:p>
  <w:p w14:paraId="722A5524" w14:textId="6C73C604" w:rsidR="00851FC6" w:rsidRPr="002A736A" w:rsidRDefault="00851FC6" w:rsidP="00851FC6">
    <w:pPr>
      <w:pStyle w:val="Footer"/>
      <w:tabs>
        <w:tab w:val="right" w:pos="8640"/>
      </w:tabs>
      <w:rPr>
        <w:rFonts w:ascii="Arial" w:hAnsi="Arial" w:cs="Arial"/>
        <w:sz w:val="18"/>
        <w:szCs w:val="18"/>
      </w:rPr>
    </w:pPr>
    <w:r w:rsidRPr="002A736A">
      <w:rPr>
        <w:rFonts w:ascii="Arial" w:hAnsi="Arial" w:cs="Arial"/>
        <w:sz w:val="18"/>
        <w:szCs w:val="18"/>
      </w:rPr>
      <w:t>Template V</w:t>
    </w:r>
    <w:r w:rsidR="007B566B">
      <w:rPr>
        <w:rFonts w:ascii="Arial" w:hAnsi="Arial" w:cs="Arial"/>
        <w:sz w:val="18"/>
        <w:szCs w:val="18"/>
      </w:rPr>
      <w:t>3</w:t>
    </w:r>
    <w:r w:rsidRPr="002A736A">
      <w:rPr>
        <w:rFonts w:ascii="Arial" w:hAnsi="Arial" w:cs="Arial"/>
        <w:sz w:val="18"/>
        <w:szCs w:val="18"/>
      </w:rPr>
      <w:t xml:space="preserve">.0 </w:t>
    </w:r>
    <w:r w:rsidR="007B566B">
      <w:rPr>
        <w:rFonts w:ascii="Arial" w:hAnsi="Arial" w:cs="Arial"/>
        <w:sz w:val="18"/>
        <w:szCs w:val="18"/>
      </w:rPr>
      <w:t>07Dec</w:t>
    </w:r>
    <w:r w:rsidR="002A736A">
      <w:rPr>
        <w:rFonts w:ascii="Arial" w:hAnsi="Arial" w:cs="Arial"/>
        <w:sz w:val="18"/>
        <w:szCs w:val="18"/>
      </w:rPr>
      <w:t>202</w:t>
    </w:r>
    <w:r w:rsidR="007B566B">
      <w:rPr>
        <w:rFonts w:ascii="Arial" w:hAnsi="Arial" w:cs="Arial"/>
        <w:sz w:val="18"/>
        <w:szCs w:val="18"/>
      </w:rPr>
      <w:t>3</w:t>
    </w:r>
    <w:r w:rsidRPr="002A736A">
      <w:rPr>
        <w:rFonts w:ascii="Arial" w:hAnsi="Arial" w:cs="Arial"/>
        <w:sz w:val="18"/>
        <w:szCs w:val="18"/>
      </w:rPr>
      <w:tab/>
    </w:r>
    <w:r w:rsidRPr="002A736A">
      <w:rPr>
        <w:rFonts w:ascii="Arial" w:hAnsi="Arial" w:cs="Arial"/>
        <w:sz w:val="18"/>
        <w:szCs w:val="18"/>
      </w:rPr>
      <w:tab/>
      <w:t xml:space="preserve">Page </w:t>
    </w:r>
    <w:r w:rsidRPr="002A736A">
      <w:rPr>
        <w:rFonts w:ascii="Arial" w:hAnsi="Arial" w:cs="Arial"/>
        <w:sz w:val="18"/>
        <w:szCs w:val="18"/>
      </w:rPr>
      <w:fldChar w:fldCharType="begin"/>
    </w:r>
    <w:r w:rsidRPr="002A736A">
      <w:rPr>
        <w:rFonts w:ascii="Arial" w:hAnsi="Arial" w:cs="Arial"/>
        <w:sz w:val="18"/>
        <w:szCs w:val="18"/>
      </w:rPr>
      <w:instrText xml:space="preserve"> PAGE </w:instrText>
    </w:r>
    <w:r w:rsidRPr="002A736A">
      <w:rPr>
        <w:rFonts w:ascii="Arial" w:hAnsi="Arial" w:cs="Arial"/>
        <w:sz w:val="18"/>
        <w:szCs w:val="18"/>
      </w:rPr>
      <w:fldChar w:fldCharType="separate"/>
    </w:r>
    <w:r w:rsidR="00E45B6D" w:rsidRPr="002A736A">
      <w:rPr>
        <w:rFonts w:ascii="Arial" w:hAnsi="Arial" w:cs="Arial"/>
        <w:noProof/>
        <w:sz w:val="18"/>
        <w:szCs w:val="18"/>
      </w:rPr>
      <w:t>2</w:t>
    </w:r>
    <w:r w:rsidRPr="002A736A">
      <w:rPr>
        <w:rFonts w:ascii="Arial" w:hAnsi="Arial" w:cs="Arial"/>
        <w:sz w:val="18"/>
        <w:szCs w:val="18"/>
      </w:rPr>
      <w:fldChar w:fldCharType="end"/>
    </w:r>
    <w:r w:rsidRPr="002A736A">
      <w:rPr>
        <w:rFonts w:ascii="Arial" w:hAnsi="Arial" w:cs="Arial"/>
        <w:sz w:val="18"/>
        <w:szCs w:val="18"/>
      </w:rPr>
      <w:t xml:space="preserve"> of </w:t>
    </w:r>
    <w:r w:rsidRPr="002A736A">
      <w:rPr>
        <w:rFonts w:ascii="Arial" w:hAnsi="Arial" w:cs="Arial"/>
        <w:sz w:val="18"/>
        <w:szCs w:val="18"/>
      </w:rPr>
      <w:fldChar w:fldCharType="begin"/>
    </w:r>
    <w:r w:rsidRPr="002A736A">
      <w:rPr>
        <w:rFonts w:ascii="Arial" w:hAnsi="Arial" w:cs="Arial"/>
        <w:sz w:val="18"/>
        <w:szCs w:val="18"/>
      </w:rPr>
      <w:instrText xml:space="preserve"> NUMPAGES </w:instrText>
    </w:r>
    <w:r w:rsidRPr="002A736A">
      <w:rPr>
        <w:rFonts w:ascii="Arial" w:hAnsi="Arial" w:cs="Arial"/>
        <w:sz w:val="18"/>
        <w:szCs w:val="18"/>
      </w:rPr>
      <w:fldChar w:fldCharType="separate"/>
    </w:r>
    <w:r w:rsidR="00E45B6D" w:rsidRPr="002A736A">
      <w:rPr>
        <w:rFonts w:ascii="Arial" w:hAnsi="Arial" w:cs="Arial"/>
        <w:noProof/>
        <w:sz w:val="18"/>
        <w:szCs w:val="18"/>
      </w:rPr>
      <w:t>2</w:t>
    </w:r>
    <w:r w:rsidRPr="002A736A">
      <w:rPr>
        <w:rFonts w:ascii="Arial" w:hAnsi="Arial" w:cs="Arial"/>
        <w:sz w:val="18"/>
        <w:szCs w:val="18"/>
      </w:rPr>
      <w:fldChar w:fldCharType="end"/>
    </w:r>
  </w:p>
  <w:p w14:paraId="5D1136FE" w14:textId="77777777" w:rsidR="00851FC6" w:rsidRPr="002A736A" w:rsidRDefault="00851FC6" w:rsidP="00851FC6">
    <w:pPr>
      <w:pStyle w:val="Footer"/>
      <w:tabs>
        <w:tab w:val="right" w:pos="8640"/>
      </w:tabs>
      <w:rPr>
        <w:rFonts w:ascii="Arial" w:hAnsi="Arial" w:cs="Arial"/>
      </w:rPr>
    </w:pPr>
    <w:r w:rsidRPr="002A736A">
      <w:rPr>
        <w:rFonts w:ascii="Arial" w:hAnsi="Arial" w:cs="Arial"/>
        <w:sz w:val="18"/>
        <w:szCs w:val="18"/>
      </w:rPr>
      <w:t xml:space="preserve">© Imperial College of Science, Technology and Medicine  </w:t>
    </w:r>
    <w:r w:rsidRPr="002A736A">
      <w:rPr>
        <w:rFonts w:ascii="Arial" w:hAnsi="Arial" w:cs="Arial"/>
        <w:sz w:val="18"/>
        <w:szCs w:val="18"/>
      </w:rPr>
      <w:tab/>
    </w:r>
    <w:r w:rsidRPr="002A736A">
      <w:rPr>
        <w:rFonts w:ascii="Arial" w:hAnsi="Arial" w:cs="Arial"/>
        <w:sz w:val="18"/>
        <w:szCs w:val="18"/>
      </w:rPr>
      <w:tab/>
    </w:r>
    <w:r w:rsidRPr="002A736A">
      <w:rPr>
        <w:rFonts w:ascii="Arial" w:hAnsi="Arial" w:cs="Arial"/>
      </w:rPr>
      <w:t xml:space="preserve"> </w:t>
    </w:r>
  </w:p>
  <w:p w14:paraId="170ED65C" w14:textId="7610CF2E" w:rsidR="00851FC6" w:rsidRPr="002A736A" w:rsidRDefault="00851FC6">
    <w:pPr>
      <w:pStyle w:val="Footer"/>
      <w:rPr>
        <w:rFonts w:ascii="Arial" w:hAnsi="Arial" w:cs="Arial"/>
      </w:rPr>
    </w:pPr>
  </w:p>
  <w:p w14:paraId="748AA985" w14:textId="77777777" w:rsidR="00851FC6" w:rsidRPr="002A736A" w:rsidRDefault="00851FC6">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ACA88" w14:textId="77777777" w:rsidR="00EB7445" w:rsidRDefault="00EB7445" w:rsidP="00B86149">
      <w:r>
        <w:separator/>
      </w:r>
    </w:p>
  </w:footnote>
  <w:footnote w:type="continuationSeparator" w:id="0">
    <w:p w14:paraId="74169B55" w14:textId="77777777" w:rsidR="00EB7445" w:rsidRDefault="00EB7445" w:rsidP="00B86149">
      <w:r>
        <w:continuationSeparator/>
      </w:r>
    </w:p>
  </w:footnote>
  <w:footnote w:id="1">
    <w:p w14:paraId="51398F4F" w14:textId="76DBA965" w:rsidR="00D968F7" w:rsidRDefault="00D968F7" w:rsidP="00D968F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C736B" w14:textId="35460F35" w:rsidR="007929E9" w:rsidRDefault="00BC5187" w:rsidP="007929E9">
    <w:pPr>
      <w:pStyle w:val="Header"/>
      <w:ind w:firstLine="720"/>
      <w:jc w:val="right"/>
      <w:rPr>
        <w:rFonts w:cs="Arial"/>
      </w:rPr>
    </w:pPr>
    <w:bookmarkStart w:id="0" w:name="_Hlk33605803"/>
    <w:r>
      <w:rPr>
        <w:noProof/>
      </w:rPr>
      <w:drawing>
        <wp:anchor distT="0" distB="0" distL="114300" distR="114300" simplePos="0" relativeHeight="251663360" behindDoc="0" locked="0" layoutInCell="1" allowOverlap="1" wp14:anchorId="2D4ADE52" wp14:editId="54E82DA9">
          <wp:simplePos x="0" y="0"/>
          <wp:positionH relativeFrom="page">
            <wp:posOffset>330200</wp:posOffset>
          </wp:positionH>
          <wp:positionV relativeFrom="topMargin">
            <wp:posOffset>652145</wp:posOffset>
          </wp:positionV>
          <wp:extent cx="2393950" cy="581660"/>
          <wp:effectExtent l="0" t="0" r="635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93950" cy="581660"/>
                  </a:xfrm>
                  <a:prstGeom prst="rect">
                    <a:avLst/>
                  </a:prstGeom>
                </pic:spPr>
              </pic:pic>
            </a:graphicData>
          </a:graphic>
          <wp14:sizeRelH relativeFrom="page">
            <wp14:pctWidth>0</wp14:pctWidth>
          </wp14:sizeRelH>
          <wp14:sizeRelV relativeFrom="page">
            <wp14:pctHeight>0</wp14:pctHeight>
          </wp14:sizeRelV>
        </wp:anchor>
      </w:drawing>
    </w:r>
    <w:r w:rsidR="007929E9" w:rsidRPr="00C16739">
      <w:rPr>
        <w:rFonts w:cs="Arial"/>
        <w:noProof/>
        <w:lang w:eastAsia="en-GB"/>
      </w:rPr>
      <w:drawing>
        <wp:anchor distT="0" distB="0" distL="114300" distR="114300" simplePos="0" relativeHeight="251662336" behindDoc="0" locked="0" layoutInCell="1" allowOverlap="1" wp14:anchorId="6C333C0C" wp14:editId="6A2A83F8">
          <wp:simplePos x="0" y="0"/>
          <wp:positionH relativeFrom="page">
            <wp:posOffset>5110480</wp:posOffset>
          </wp:positionH>
          <wp:positionV relativeFrom="page">
            <wp:posOffset>371475</wp:posOffset>
          </wp:positionV>
          <wp:extent cx="2077085" cy="438785"/>
          <wp:effectExtent l="0" t="0" r="0" b="0"/>
          <wp:wrapSquare wrapText="bothSides"/>
          <wp:docPr id="1" name="Picture 1" descr="Imperial College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7085"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94ACA1" w14:textId="77777777" w:rsidR="007929E9" w:rsidRPr="00320485" w:rsidRDefault="007929E9" w:rsidP="007929E9">
    <w:pPr>
      <w:pStyle w:val="Header"/>
      <w:ind w:firstLine="720"/>
      <w:rPr>
        <w:rFonts w:ascii="Arial" w:hAnsi="Arial" w:cs="Arial"/>
        <w:sz w:val="24"/>
        <w:szCs w:val="24"/>
      </w:rPr>
    </w:pPr>
    <w:r w:rsidRPr="00320485">
      <w:rPr>
        <w:rFonts w:ascii="Arial" w:hAnsi="Arial" w:cs="Arial"/>
        <w:sz w:val="24"/>
        <w:szCs w:val="24"/>
      </w:rPr>
      <w:t>Research Governance</w:t>
    </w:r>
  </w:p>
  <w:p w14:paraId="40AF97BF" w14:textId="77777777" w:rsidR="007929E9" w:rsidRPr="00320485" w:rsidRDefault="007929E9" w:rsidP="007929E9">
    <w:pPr>
      <w:pStyle w:val="Header"/>
      <w:rPr>
        <w:rFonts w:ascii="Arial" w:hAnsi="Arial" w:cs="Arial"/>
        <w:sz w:val="24"/>
        <w:szCs w:val="24"/>
      </w:rPr>
    </w:pPr>
    <w:r w:rsidRPr="00320485">
      <w:rPr>
        <w:rFonts w:ascii="Arial" w:hAnsi="Arial" w:cs="Arial"/>
        <w:sz w:val="24"/>
        <w:szCs w:val="24"/>
      </w:rPr>
      <w:tab/>
      <w:t xml:space="preserve">         </w:t>
    </w:r>
    <w:r w:rsidRPr="00320485">
      <w:rPr>
        <w:rFonts w:cs="Arial"/>
        <w:sz w:val="24"/>
        <w:szCs w:val="24"/>
      </w:rPr>
      <w:t xml:space="preserve">  </w:t>
    </w:r>
    <w:r w:rsidRPr="00320485">
      <w:rPr>
        <w:rFonts w:ascii="Arial" w:hAnsi="Arial" w:cs="Arial"/>
        <w:sz w:val="24"/>
        <w:szCs w:val="24"/>
      </w:rPr>
      <w:t>and Integrity Team</w:t>
    </w:r>
  </w:p>
  <w:p w14:paraId="2B5D4C96" w14:textId="77777777" w:rsidR="007929E9" w:rsidRDefault="007929E9" w:rsidP="007929E9">
    <w:pPr>
      <w:pStyle w:val="Header"/>
      <w:tabs>
        <w:tab w:val="left" w:pos="2217"/>
      </w:tabs>
      <w:rPr>
        <w:rFonts w:cs="Arial"/>
      </w:rPr>
    </w:pPr>
  </w:p>
  <w:bookmarkEnd w:id="0"/>
  <w:p w14:paraId="6B05E42B" w14:textId="77777777" w:rsidR="00B86149" w:rsidRDefault="00B86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091320"/>
    <w:multiLevelType w:val="multilevel"/>
    <w:tmpl w:val="D0C4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446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7A7"/>
    <w:rsid w:val="00062FA0"/>
    <w:rsid w:val="001201B6"/>
    <w:rsid w:val="002A736A"/>
    <w:rsid w:val="002B0638"/>
    <w:rsid w:val="002C76EE"/>
    <w:rsid w:val="00312BC3"/>
    <w:rsid w:val="003A068B"/>
    <w:rsid w:val="004135A3"/>
    <w:rsid w:val="00420CC4"/>
    <w:rsid w:val="0053258B"/>
    <w:rsid w:val="007175C8"/>
    <w:rsid w:val="007720A8"/>
    <w:rsid w:val="007929E9"/>
    <w:rsid w:val="007B566B"/>
    <w:rsid w:val="00851FC6"/>
    <w:rsid w:val="008A4151"/>
    <w:rsid w:val="008D53E7"/>
    <w:rsid w:val="00962007"/>
    <w:rsid w:val="00A564F6"/>
    <w:rsid w:val="00A946CF"/>
    <w:rsid w:val="00A9482B"/>
    <w:rsid w:val="00AD08A7"/>
    <w:rsid w:val="00B012AF"/>
    <w:rsid w:val="00B86149"/>
    <w:rsid w:val="00BA1468"/>
    <w:rsid w:val="00BC5187"/>
    <w:rsid w:val="00BF191B"/>
    <w:rsid w:val="00C111F8"/>
    <w:rsid w:val="00C8585F"/>
    <w:rsid w:val="00C954AD"/>
    <w:rsid w:val="00CA5D74"/>
    <w:rsid w:val="00D20AC4"/>
    <w:rsid w:val="00D276A5"/>
    <w:rsid w:val="00D968F7"/>
    <w:rsid w:val="00E45B6D"/>
    <w:rsid w:val="00EB7445"/>
    <w:rsid w:val="00F237A7"/>
    <w:rsid w:val="00F34EFC"/>
    <w:rsid w:val="00F97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6F13"/>
  <w15:chartTrackingRefBased/>
  <w15:docId w15:val="{CB4705BA-2B59-4FA7-A772-0A6014DF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8F7"/>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6149"/>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B86149"/>
  </w:style>
  <w:style w:type="paragraph" w:styleId="Footer">
    <w:name w:val="footer"/>
    <w:basedOn w:val="Normal"/>
    <w:link w:val="FooterChar"/>
    <w:uiPriority w:val="99"/>
    <w:unhideWhenUsed/>
    <w:rsid w:val="00B86149"/>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86149"/>
  </w:style>
  <w:style w:type="paragraph" w:styleId="BalloonText">
    <w:name w:val="Balloon Text"/>
    <w:basedOn w:val="Normal"/>
    <w:link w:val="BalloonTextChar"/>
    <w:uiPriority w:val="99"/>
    <w:semiHidden/>
    <w:unhideWhenUsed/>
    <w:rsid w:val="00C111F8"/>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111F8"/>
    <w:rPr>
      <w:rFonts w:ascii="Times New Roman" w:hAnsi="Times New Roman" w:cs="Times New Roman"/>
      <w:sz w:val="18"/>
      <w:szCs w:val="18"/>
    </w:rPr>
  </w:style>
  <w:style w:type="character" w:styleId="Hyperlink">
    <w:name w:val="Hyperlink"/>
    <w:uiPriority w:val="99"/>
    <w:semiHidden/>
    <w:unhideWhenUsed/>
    <w:rsid w:val="00D968F7"/>
    <w:rPr>
      <w:color w:val="0000FF"/>
      <w:u w:val="single"/>
    </w:rPr>
  </w:style>
  <w:style w:type="paragraph" w:styleId="FootnoteText">
    <w:name w:val="footnote text"/>
    <w:basedOn w:val="Normal"/>
    <w:link w:val="FootnoteTextChar"/>
    <w:semiHidden/>
    <w:unhideWhenUsed/>
    <w:rsid w:val="00D968F7"/>
    <w:rPr>
      <w:rFonts w:ascii="Times New Roman" w:hAnsi="Times New Roman"/>
      <w:sz w:val="20"/>
    </w:rPr>
  </w:style>
  <w:style w:type="character" w:customStyle="1" w:styleId="FootnoteTextChar">
    <w:name w:val="Footnote Text Char"/>
    <w:basedOn w:val="DefaultParagraphFont"/>
    <w:link w:val="FootnoteText"/>
    <w:semiHidden/>
    <w:rsid w:val="00D968F7"/>
    <w:rPr>
      <w:rFonts w:ascii="Times New Roman" w:eastAsia="Times New Roman" w:hAnsi="Times New Roman" w:cs="Times New Roman"/>
      <w:sz w:val="20"/>
      <w:szCs w:val="24"/>
    </w:rPr>
  </w:style>
  <w:style w:type="character" w:styleId="FootnoteReference">
    <w:name w:val="footnote reference"/>
    <w:semiHidden/>
    <w:unhideWhenUsed/>
    <w:rsid w:val="00D968F7"/>
    <w:rPr>
      <w:vertAlign w:val="superscript"/>
    </w:rPr>
  </w:style>
  <w:style w:type="character" w:styleId="FollowedHyperlink">
    <w:name w:val="FollowedHyperlink"/>
    <w:basedOn w:val="DefaultParagraphFont"/>
    <w:uiPriority w:val="99"/>
    <w:semiHidden/>
    <w:unhideWhenUsed/>
    <w:rsid w:val="00851FC6"/>
    <w:rPr>
      <w:color w:val="954F72" w:themeColor="followedHyperlink"/>
      <w:u w:val="single"/>
    </w:rPr>
  </w:style>
  <w:style w:type="paragraph" w:styleId="NormalWeb">
    <w:name w:val="Normal (Web)"/>
    <w:basedOn w:val="Normal"/>
    <w:uiPriority w:val="99"/>
    <w:semiHidden/>
    <w:unhideWhenUsed/>
    <w:rsid w:val="0053258B"/>
    <w:pPr>
      <w:spacing w:before="100" w:beforeAutospacing="1" w:after="100" w:afterAutospacing="1" w:line="312" w:lineRule="atLeast"/>
    </w:pPr>
    <w:rPr>
      <w:rFonts w:ascii="Times New Roman" w:hAnsi="Times New Roman"/>
      <w:lang w:eastAsia="en-GB"/>
    </w:rPr>
  </w:style>
  <w:style w:type="paragraph" w:styleId="ListParagraph">
    <w:name w:val="List Paragraph"/>
    <w:basedOn w:val="Normal"/>
    <w:uiPriority w:val="34"/>
    <w:qFormat/>
    <w:rsid w:val="00E45B6D"/>
    <w:pPr>
      <w:ind w:left="720"/>
      <w:contextualSpacing/>
    </w:pPr>
  </w:style>
  <w:style w:type="paragraph" w:styleId="Revision">
    <w:name w:val="Revision"/>
    <w:hidden/>
    <w:uiPriority w:val="99"/>
    <w:semiHidden/>
    <w:rsid w:val="00BF191B"/>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85409">
      <w:bodyDiv w:val="1"/>
      <w:marLeft w:val="0"/>
      <w:marRight w:val="0"/>
      <w:marTop w:val="0"/>
      <w:marBottom w:val="0"/>
      <w:divBdr>
        <w:top w:val="none" w:sz="0" w:space="0" w:color="auto"/>
        <w:left w:val="none" w:sz="0" w:space="0" w:color="auto"/>
        <w:bottom w:val="none" w:sz="0" w:space="0" w:color="auto"/>
        <w:right w:val="none" w:sz="0" w:space="0" w:color="auto"/>
      </w:divBdr>
    </w:div>
    <w:div w:id="1884712762">
      <w:bodyDiv w:val="1"/>
      <w:marLeft w:val="0"/>
      <w:marRight w:val="0"/>
      <w:marTop w:val="0"/>
      <w:marBottom w:val="0"/>
      <w:divBdr>
        <w:top w:val="none" w:sz="0" w:space="0" w:color="auto"/>
        <w:left w:val="none" w:sz="0" w:space="0" w:color="auto"/>
        <w:bottom w:val="none" w:sz="0" w:space="0" w:color="auto"/>
        <w:right w:val="none" w:sz="0" w:space="0" w:color="auto"/>
      </w:divBdr>
      <w:divsChild>
        <w:div w:id="2095928295">
          <w:marLeft w:val="0"/>
          <w:marRight w:val="0"/>
          <w:marTop w:val="0"/>
          <w:marBottom w:val="0"/>
          <w:divBdr>
            <w:top w:val="none" w:sz="0" w:space="0" w:color="auto"/>
            <w:left w:val="none" w:sz="0" w:space="0" w:color="auto"/>
            <w:bottom w:val="none" w:sz="0" w:space="0" w:color="auto"/>
            <w:right w:val="none" w:sz="0" w:space="0" w:color="auto"/>
          </w:divBdr>
          <w:divsChild>
            <w:div w:id="1920212734">
              <w:marLeft w:val="0"/>
              <w:marRight w:val="0"/>
              <w:marTop w:val="0"/>
              <w:marBottom w:val="0"/>
              <w:divBdr>
                <w:top w:val="none" w:sz="0" w:space="0" w:color="auto"/>
                <w:left w:val="none" w:sz="0" w:space="0" w:color="auto"/>
                <w:bottom w:val="none" w:sz="0" w:space="0" w:color="auto"/>
                <w:right w:val="none" w:sz="0" w:space="0" w:color="auto"/>
              </w:divBdr>
              <w:divsChild>
                <w:div w:id="612328641">
                  <w:marLeft w:val="0"/>
                  <w:marRight w:val="0"/>
                  <w:marTop w:val="0"/>
                  <w:marBottom w:val="0"/>
                  <w:divBdr>
                    <w:top w:val="none" w:sz="0" w:space="0" w:color="auto"/>
                    <w:left w:val="none" w:sz="0" w:space="0" w:color="auto"/>
                    <w:bottom w:val="none" w:sz="0" w:space="0" w:color="auto"/>
                    <w:right w:val="none" w:sz="0" w:space="0" w:color="auto"/>
                  </w:divBdr>
                  <w:divsChild>
                    <w:div w:id="16191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hr.ac.uk/documents/eligibility-for-nihr-clinical-research-network-support/2374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hr.ac.uk/documents/nihr-non-commercial-partner-list/11458" TargetMode="External"/><Relationship Id="rId4" Type="http://schemas.openxmlformats.org/officeDocument/2006/relationships/settings" Target="settings.xml"/><Relationship Id="rId9" Type="http://schemas.openxmlformats.org/officeDocument/2006/relationships/hyperlink" Target="mailto:portfolio.applications@nihr.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B8D2F-E209-4D09-9659-61723029C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Nooreen</dc:creator>
  <cp:keywords/>
  <dc:description/>
  <cp:lastModifiedBy>Zicari, Agnese</cp:lastModifiedBy>
  <cp:revision>14</cp:revision>
  <dcterms:created xsi:type="dcterms:W3CDTF">2020-08-24T12:05:00Z</dcterms:created>
  <dcterms:modified xsi:type="dcterms:W3CDTF">2024-10-07T14:07:00Z</dcterms:modified>
</cp:coreProperties>
</file>